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C3" w:rsidRPr="00F46FAA" w:rsidRDefault="00A931C3" w:rsidP="00A931C3">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79095C">
        <w:rPr>
          <w:rFonts w:hint="eastAsia"/>
          <w:b/>
          <w:bCs/>
          <w:sz w:val="36"/>
          <w:lang w:eastAsia="zh-CN"/>
        </w:rPr>
        <w:t>连续</w:t>
      </w:r>
      <w:proofErr w:type="gramStart"/>
      <w:r w:rsidRPr="0079095C">
        <w:rPr>
          <w:rFonts w:hint="eastAsia"/>
          <w:b/>
          <w:bCs/>
          <w:sz w:val="36"/>
          <w:lang w:eastAsia="zh-CN"/>
        </w:rPr>
        <w:t>重整四</w:t>
      </w:r>
      <w:proofErr w:type="gramEnd"/>
      <w:r w:rsidRPr="0079095C">
        <w:rPr>
          <w:rFonts w:hint="eastAsia"/>
          <w:b/>
          <w:bCs/>
          <w:sz w:val="36"/>
          <w:lang w:eastAsia="zh-CN"/>
        </w:rPr>
        <w:t>合一炉节能改造项目防爆型烟气分析仪连续监测系统环保验收技术服务采购</w:t>
      </w:r>
      <w:r>
        <w:rPr>
          <w:rFonts w:hint="eastAsia"/>
          <w:b/>
          <w:bCs/>
          <w:sz w:val="36"/>
          <w:lang w:eastAsia="zh-CN"/>
        </w:rPr>
        <w:t>公开比选</w:t>
      </w:r>
      <w:r w:rsidRPr="00F46FAA">
        <w:rPr>
          <w:rFonts w:hint="eastAsia"/>
          <w:b/>
          <w:bCs/>
          <w:sz w:val="36"/>
          <w:lang w:eastAsia="zh-CN"/>
        </w:rPr>
        <w:t>公告</w:t>
      </w:r>
      <w:r>
        <w:rPr>
          <w:rFonts w:hint="eastAsia"/>
          <w:b/>
          <w:bCs/>
          <w:sz w:val="36"/>
          <w:lang w:eastAsia="zh-CN"/>
        </w:rPr>
        <w:t>（第三次）</w:t>
      </w:r>
    </w:p>
    <w:p w:rsidR="00A931C3" w:rsidRPr="0095010C" w:rsidRDefault="00A931C3" w:rsidP="00A931C3">
      <w:pPr>
        <w:spacing w:line="360" w:lineRule="auto"/>
        <w:ind w:right="315"/>
        <w:jc w:val="right"/>
        <w:rPr>
          <w:bCs/>
          <w:szCs w:val="21"/>
          <w:lang w:eastAsia="zh-CN"/>
        </w:rPr>
      </w:pPr>
      <w:r w:rsidRPr="002B08DF">
        <w:rPr>
          <w:rFonts w:hint="eastAsia"/>
          <w:bCs/>
          <w:szCs w:val="21"/>
          <w:lang w:eastAsia="zh-CN"/>
        </w:rPr>
        <w:t>比选编号：</w:t>
      </w:r>
      <w:r w:rsidRPr="00AD4E4B">
        <w:rPr>
          <w:bCs/>
          <w:szCs w:val="21"/>
          <w:lang w:eastAsia="zh-CN"/>
        </w:rPr>
        <w:t>FAP1-T-GKBX-202310-013</w:t>
      </w:r>
    </w:p>
    <w:p w:rsidR="00A931C3" w:rsidRPr="004B2CF4" w:rsidRDefault="00A931C3" w:rsidP="00A931C3">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4D7686">
        <w:rPr>
          <w:rFonts w:asciiTheme="minorEastAsia" w:eastAsiaTheme="minorEastAsia" w:hAnsiTheme="minorEastAsia" w:hint="eastAsia"/>
          <w:bCs/>
          <w:sz w:val="24"/>
          <w:szCs w:val="24"/>
          <w:lang w:eastAsia="zh-CN"/>
        </w:rPr>
        <w:t>连续重整四合一炉节能改造项目防爆型烟气分析仪连续监测系统环保验收技术服务采购</w:t>
      </w:r>
      <w:r w:rsidRPr="004B2CF4">
        <w:rPr>
          <w:rFonts w:asciiTheme="minorEastAsia" w:eastAsiaTheme="minorEastAsia" w:hAnsiTheme="minorEastAsia" w:hint="eastAsia"/>
          <w:bCs/>
          <w:sz w:val="24"/>
          <w:szCs w:val="24"/>
          <w:lang w:eastAsia="zh-CN"/>
        </w:rPr>
        <w:t>（项目编号：</w:t>
      </w:r>
      <w:r w:rsidRPr="00AD4E4B">
        <w:rPr>
          <w:bCs/>
          <w:szCs w:val="21"/>
          <w:lang w:eastAsia="zh-CN"/>
        </w:rPr>
        <w:t>FAP1-T-GKBX-202310-013</w:t>
      </w:r>
      <w:r w:rsidRPr="004B2CF4">
        <w:rPr>
          <w:rFonts w:asciiTheme="minorEastAsia" w:eastAsiaTheme="minorEastAsia" w:hAnsiTheme="minorEastAsia" w:hint="eastAsia"/>
          <w:bCs/>
          <w:sz w:val="24"/>
          <w:szCs w:val="24"/>
          <w:lang w:eastAsia="zh-CN"/>
        </w:rPr>
        <w:t>）”进行国内公开比选，欢迎国内符合条件的供应商积极参选。</w:t>
      </w:r>
    </w:p>
    <w:p w:rsidR="00A931C3" w:rsidRPr="001A592B"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A931C3" w:rsidRPr="00747836" w:rsidRDefault="00A931C3" w:rsidP="00A931C3">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44581">
        <w:rPr>
          <w:rFonts w:asciiTheme="minorEastAsia" w:eastAsiaTheme="minorEastAsia" w:hAnsiTheme="minorEastAsia" w:hint="eastAsia"/>
          <w:bCs/>
          <w:sz w:val="24"/>
          <w:szCs w:val="24"/>
          <w:lang w:eastAsia="zh-CN"/>
        </w:rPr>
        <w:t>连续</w:t>
      </w:r>
      <w:proofErr w:type="gramStart"/>
      <w:r w:rsidRPr="00F44581">
        <w:rPr>
          <w:rFonts w:asciiTheme="minorEastAsia" w:eastAsiaTheme="minorEastAsia" w:hAnsiTheme="minorEastAsia" w:hint="eastAsia"/>
          <w:bCs/>
          <w:sz w:val="24"/>
          <w:szCs w:val="24"/>
          <w:lang w:eastAsia="zh-CN"/>
        </w:rPr>
        <w:t>重整四</w:t>
      </w:r>
      <w:proofErr w:type="gramEnd"/>
      <w:r w:rsidRPr="00F44581">
        <w:rPr>
          <w:rFonts w:asciiTheme="minorEastAsia" w:eastAsiaTheme="minorEastAsia" w:hAnsiTheme="minorEastAsia" w:hint="eastAsia"/>
          <w:bCs/>
          <w:sz w:val="24"/>
          <w:szCs w:val="24"/>
          <w:lang w:eastAsia="zh-CN"/>
        </w:rPr>
        <w:t>合一炉节能改造项目防爆型烟气分析仪连续监测系统环保验收技术服务采购</w:t>
      </w:r>
      <w:r w:rsidRPr="00747836">
        <w:rPr>
          <w:rFonts w:asciiTheme="minorEastAsia" w:eastAsiaTheme="minorEastAsia" w:hAnsiTheme="minorEastAsia" w:hint="eastAsia"/>
          <w:bCs/>
          <w:sz w:val="24"/>
          <w:szCs w:val="24"/>
          <w:lang w:eastAsia="zh-CN"/>
        </w:rPr>
        <w:t>；</w:t>
      </w:r>
    </w:p>
    <w:p w:rsidR="00A931C3" w:rsidRDefault="00A931C3" w:rsidP="00A931C3">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p>
    <w:p w:rsidR="00A931C3" w:rsidRPr="00FD73CE" w:rsidRDefault="00A931C3" w:rsidP="00A931C3">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hint="eastAsia"/>
          <w:sz w:val="24"/>
          <w:lang w:eastAsia="zh-CN"/>
        </w:rPr>
        <w:t>对SCS-900（仪表位号</w:t>
      </w:r>
      <w:r w:rsidRPr="005C7C59">
        <w:rPr>
          <w:rFonts w:hint="eastAsia"/>
          <w:sz w:val="24"/>
          <w:lang w:eastAsia="zh-CN"/>
        </w:rPr>
        <w:t>3</w:t>
      </w:r>
      <w:r w:rsidRPr="005C7C59">
        <w:rPr>
          <w:sz w:val="24"/>
          <w:lang w:eastAsia="zh-CN"/>
        </w:rPr>
        <w:t>2-AT-312</w:t>
      </w:r>
      <w:r>
        <w:rPr>
          <w:rFonts w:hint="eastAsia"/>
          <w:sz w:val="24"/>
          <w:lang w:eastAsia="zh-CN"/>
        </w:rPr>
        <w:t>）C</w:t>
      </w:r>
      <w:r>
        <w:rPr>
          <w:sz w:val="24"/>
          <w:lang w:eastAsia="zh-CN"/>
        </w:rPr>
        <w:t>EMS在线设备做</w:t>
      </w:r>
      <w:r>
        <w:rPr>
          <w:rFonts w:hint="eastAsia"/>
          <w:sz w:val="24"/>
          <w:lang w:eastAsia="zh-CN"/>
        </w:rPr>
        <w:t>7</w:t>
      </w:r>
      <w:r>
        <w:rPr>
          <w:sz w:val="24"/>
          <w:lang w:eastAsia="zh-CN"/>
        </w:rPr>
        <w:t>2小时</w:t>
      </w:r>
      <w:r>
        <w:rPr>
          <w:rFonts w:hint="eastAsia"/>
          <w:sz w:val="24"/>
          <w:lang w:eastAsia="zh-CN"/>
        </w:rPr>
        <w:t>调试</w:t>
      </w:r>
      <w:r>
        <w:rPr>
          <w:sz w:val="24"/>
          <w:lang w:eastAsia="zh-CN"/>
        </w:rPr>
        <w:t>检测报告，</w:t>
      </w:r>
      <w:r>
        <w:rPr>
          <w:rFonts w:hint="eastAsia"/>
          <w:sz w:val="24"/>
          <w:lang w:eastAsia="zh-CN"/>
        </w:rPr>
        <w:t>1</w:t>
      </w:r>
      <w:r>
        <w:rPr>
          <w:sz w:val="24"/>
          <w:lang w:eastAsia="zh-CN"/>
        </w:rPr>
        <w:t>68小时连续运行报告，</w:t>
      </w:r>
      <w:r>
        <w:rPr>
          <w:rFonts w:hint="eastAsia"/>
          <w:sz w:val="24"/>
          <w:lang w:eastAsia="zh-CN"/>
        </w:rPr>
        <w:t>当地环保</w:t>
      </w:r>
      <w:r>
        <w:rPr>
          <w:sz w:val="24"/>
          <w:lang w:eastAsia="zh-CN"/>
        </w:rPr>
        <w:t>部门认可的、具备测评资质的第三方检测机构出具的比对报告等服务，并提交符合环保</w:t>
      </w:r>
      <w:r>
        <w:rPr>
          <w:rFonts w:hint="eastAsia"/>
          <w:sz w:val="24"/>
          <w:lang w:eastAsia="zh-CN"/>
        </w:rPr>
        <w:t>规范</w:t>
      </w:r>
      <w:r>
        <w:rPr>
          <w:sz w:val="24"/>
          <w:lang w:eastAsia="zh-CN"/>
        </w:rPr>
        <w:t>要求的</w:t>
      </w:r>
      <w:r>
        <w:rPr>
          <w:rFonts w:hint="eastAsia"/>
          <w:sz w:val="24"/>
          <w:lang w:eastAsia="zh-CN"/>
        </w:rPr>
        <w:t>《</w:t>
      </w:r>
      <w:r>
        <w:rPr>
          <w:sz w:val="24"/>
          <w:lang w:eastAsia="zh-CN"/>
        </w:rPr>
        <w:t>固定污染源烟气自动监测设备技术指标比对验收监测报告</w:t>
      </w:r>
      <w:r>
        <w:rPr>
          <w:rFonts w:hint="eastAsia"/>
          <w:sz w:val="24"/>
          <w:lang w:eastAsia="zh-CN"/>
        </w:rPr>
        <w:t>》.</w:t>
      </w:r>
    </w:p>
    <w:p w:rsidR="00A931C3" w:rsidRDefault="00A931C3" w:rsidP="00A931C3">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A931C3" w:rsidRPr="00747836" w:rsidRDefault="00A931C3" w:rsidP="00A931C3">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A931C3" w:rsidRDefault="00A931C3" w:rsidP="00A931C3">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A931C3" w:rsidRPr="006A333C" w:rsidRDefault="00A931C3" w:rsidP="00A931C3">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50,000.00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A931C3"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A931C3" w:rsidRDefault="00A931C3" w:rsidP="00A931C3">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Pr>
          <w:rFonts w:ascii="宋体" w:eastAsia="宋体" w:hAnsi="宋体" w:cs="宋体" w:hint="eastAsia"/>
          <w:spacing w:val="-3"/>
          <w:sz w:val="24"/>
          <w:szCs w:val="24"/>
        </w:rPr>
        <w:t>服务</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A931C3" w:rsidRDefault="00A931C3" w:rsidP="00A931C3">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A931C3" w:rsidRDefault="00A931C3" w:rsidP="00A931C3">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lastRenderedPageBreak/>
        <w:t>投标人</w:t>
      </w:r>
      <w:r>
        <w:rPr>
          <w:rFonts w:ascii="宋体" w:eastAsia="宋体" w:hAnsi="宋体" w:cs="宋体"/>
          <w:sz w:val="24"/>
          <w:szCs w:val="24"/>
        </w:rPr>
        <w:t>需有包含本项目的</w:t>
      </w:r>
      <w:r>
        <w:rPr>
          <w:rFonts w:ascii="宋体" w:cs="宋体" w:hint="eastAsia"/>
          <w:kern w:val="0"/>
          <w:sz w:val="24"/>
        </w:rPr>
        <w:t>国家相关主管部门颁发的检验检测机构资质认定证书</w:t>
      </w:r>
      <w:r>
        <w:rPr>
          <w:rFonts w:ascii="宋体" w:eastAsia="宋体" w:hAnsi="宋体" w:cs="宋体" w:hint="eastAsia"/>
          <w:sz w:val="24"/>
          <w:szCs w:val="24"/>
        </w:rPr>
        <w:t>。</w:t>
      </w:r>
    </w:p>
    <w:p w:rsidR="00A931C3" w:rsidRDefault="00A931C3" w:rsidP="00A931C3">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A931C3" w:rsidRPr="006A333C" w:rsidRDefault="00A931C3" w:rsidP="00A931C3">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A931C3"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A931C3"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A931C3"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A931C3"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A931C3"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）或各级信用信息共享平台中列入失信被执行人名单；</w:t>
      </w:r>
    </w:p>
    <w:p w:rsidR="00A931C3" w:rsidRPr="006A333C" w:rsidRDefault="00A931C3" w:rsidP="00A931C3">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A931C3" w:rsidRPr="001A592B"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A931C3" w:rsidRPr="000F619F" w:rsidRDefault="00A931C3" w:rsidP="00A931C3">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13</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22</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A931C3" w:rsidRDefault="00A931C3" w:rsidP="00A931C3">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A931C3" w:rsidRPr="00B91618" w:rsidRDefault="00A931C3" w:rsidP="00A931C3">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931C3" w:rsidRPr="00AA1133" w:rsidRDefault="00A931C3" w:rsidP="00A931C3">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A931C3" w:rsidRPr="00B91618"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A931C3" w:rsidRPr="001F534F" w:rsidRDefault="00A931C3" w:rsidP="00A931C3">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A931C3" w:rsidRPr="0031234C" w:rsidRDefault="00A931C3" w:rsidP="00A931C3">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A931C3" w:rsidRPr="0031234C" w:rsidRDefault="00A931C3" w:rsidP="00A931C3">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931C3" w:rsidRPr="0031234C" w:rsidRDefault="00A931C3" w:rsidP="00A931C3">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A931C3" w:rsidRPr="0031234C" w:rsidRDefault="00A931C3" w:rsidP="00A931C3">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A931C3" w:rsidRPr="0031234C" w:rsidRDefault="00A931C3" w:rsidP="00A931C3">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A931C3" w:rsidRPr="0031234C" w:rsidRDefault="00A931C3" w:rsidP="00A931C3">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A931C3" w:rsidRPr="00736B2E" w:rsidRDefault="00A931C3" w:rsidP="00A931C3">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环保监测服务</w:t>
      </w:r>
      <w:r w:rsidRPr="0005561C">
        <w:rPr>
          <w:rFonts w:asciiTheme="minorEastAsia" w:eastAsiaTheme="minorEastAsia" w:hAnsiTheme="minorEastAsia"/>
          <w:bCs/>
          <w:sz w:val="24"/>
          <w:szCs w:val="24"/>
          <w:lang w:eastAsia="zh-CN"/>
        </w:rPr>
        <w:t>采购</w:t>
      </w:r>
    </w:p>
    <w:p w:rsidR="00A931C3" w:rsidRPr="0031234C" w:rsidRDefault="00A931C3" w:rsidP="00A931C3">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A931C3" w:rsidRPr="0031234C" w:rsidRDefault="00A931C3" w:rsidP="00A931C3">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931C3" w:rsidRPr="006C3511" w:rsidRDefault="00A931C3" w:rsidP="00A931C3">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A931C3" w:rsidRPr="0031234C" w:rsidRDefault="00A931C3" w:rsidP="00A931C3">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A931C3" w:rsidRPr="006C3511" w:rsidRDefault="00A931C3" w:rsidP="00A931C3">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A931C3" w:rsidRPr="0031234C" w:rsidRDefault="00A931C3" w:rsidP="00A931C3">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A931C3" w:rsidRPr="001A592B"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A931C3" w:rsidRPr="001A592B" w:rsidRDefault="00A931C3" w:rsidP="00A931C3">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A931C3" w:rsidRDefault="00A931C3" w:rsidP="00A931C3">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A931C3" w:rsidRPr="009C587D" w:rsidRDefault="00A931C3" w:rsidP="00A931C3">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A931C3" w:rsidRPr="001A592B" w:rsidRDefault="00A931C3" w:rsidP="00A931C3">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A931C3" w:rsidRPr="001A592B" w:rsidRDefault="00A931C3" w:rsidP="00A931C3">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A931C3" w:rsidRPr="001A592B" w:rsidRDefault="00A931C3" w:rsidP="00A931C3">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A931C3" w:rsidRDefault="00A931C3" w:rsidP="00A931C3">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A931C3" w:rsidRDefault="00A931C3" w:rsidP="00A931C3">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A931C3" w:rsidRDefault="00A931C3" w:rsidP="00A931C3">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A931C3" w:rsidRDefault="00A931C3" w:rsidP="00A931C3">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023.12.13</w:t>
      </w:r>
    </w:p>
    <w:p w:rsidR="00D83591" w:rsidRDefault="00D83591">
      <w:bookmarkStart w:id="4" w:name="_GoBack"/>
      <w:bookmarkEnd w:id="4"/>
    </w:p>
    <w:sectPr w:rsidR="00D8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C3"/>
    <w:rsid w:val="00A931C3"/>
    <w:rsid w:val="00D83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45445-B143-474D-9754-0AF30B35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31C3"/>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A931C3"/>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A931C3"/>
    <w:pPr>
      <w:spacing w:before="206"/>
      <w:ind w:left="959" w:hanging="361"/>
    </w:pPr>
  </w:style>
  <w:style w:type="character" w:customStyle="1" w:styleId="Char">
    <w:name w:val="正文缩进 Char"/>
    <w:link w:val="a4"/>
    <w:qFormat/>
    <w:rsid w:val="00A931C3"/>
  </w:style>
  <w:style w:type="paragraph" w:styleId="a4">
    <w:name w:val="Normal Indent"/>
    <w:basedOn w:val="a"/>
    <w:link w:val="Char"/>
    <w:qFormat/>
    <w:rsid w:val="00A931C3"/>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A931C3"/>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A931C3"/>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Company>fhcpec.com.cn</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2023-12-13T02:22:00Z</dcterms:created>
  <dcterms:modified xsi:type="dcterms:W3CDTF">2023-12-13T02:22:00Z</dcterms:modified>
</cp:coreProperties>
</file>