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176" w:rsidRPr="00F46FAA" w:rsidRDefault="00161176" w:rsidP="00161176">
      <w:pPr>
        <w:spacing w:line="788" w:lineRule="exact"/>
        <w:ind w:left="167"/>
        <w:jc w:val="center"/>
        <w:rPr>
          <w:b/>
          <w:bCs/>
          <w:sz w:val="36"/>
          <w:lang w:eastAsia="zh-CN"/>
        </w:rPr>
      </w:pPr>
      <w:r w:rsidRPr="00D51FFA">
        <w:rPr>
          <w:rFonts w:hint="eastAsia"/>
          <w:b/>
          <w:bCs/>
          <w:sz w:val="36"/>
          <w:lang w:eastAsia="zh-CN"/>
        </w:rPr>
        <w:t>福建福海创石油化工有限公司</w:t>
      </w:r>
      <w:r w:rsidRPr="006B4732">
        <w:rPr>
          <w:rFonts w:hint="eastAsia"/>
          <w:b/>
          <w:bCs/>
          <w:sz w:val="36"/>
          <w:lang w:eastAsia="zh-CN"/>
        </w:rPr>
        <w:t>原料适应性技改项目</w:t>
      </w:r>
      <w:r w:rsidRPr="006955FD">
        <w:rPr>
          <w:rFonts w:hint="eastAsia"/>
          <w:b/>
          <w:bCs/>
          <w:sz w:val="36"/>
          <w:lang w:eastAsia="zh-CN"/>
        </w:rPr>
        <w:t>配套储运及其它辅助系统空压站改造微热再生吸附式干燥机</w:t>
      </w:r>
      <w:r w:rsidRPr="00893D6F">
        <w:rPr>
          <w:rFonts w:hint="eastAsia"/>
          <w:b/>
          <w:bCs/>
          <w:sz w:val="36"/>
          <w:lang w:eastAsia="zh-CN"/>
        </w:rPr>
        <w:t>采购</w:t>
      </w:r>
      <w:r>
        <w:rPr>
          <w:rFonts w:hint="eastAsia"/>
          <w:b/>
          <w:bCs/>
          <w:sz w:val="36"/>
          <w:lang w:eastAsia="zh-CN"/>
        </w:rPr>
        <w:t>公开比选</w:t>
      </w:r>
      <w:r w:rsidRPr="00F46FAA">
        <w:rPr>
          <w:rFonts w:hint="eastAsia"/>
          <w:b/>
          <w:bCs/>
          <w:sz w:val="36"/>
          <w:lang w:eastAsia="zh-CN"/>
        </w:rPr>
        <w:t>公告</w:t>
      </w:r>
    </w:p>
    <w:p w:rsidR="00161176" w:rsidRPr="0095010C" w:rsidRDefault="00161176" w:rsidP="00161176">
      <w:pPr>
        <w:spacing w:line="360" w:lineRule="auto"/>
        <w:ind w:right="315"/>
        <w:jc w:val="right"/>
        <w:rPr>
          <w:bCs/>
          <w:szCs w:val="21"/>
          <w:lang w:eastAsia="zh-CN"/>
        </w:rPr>
      </w:pPr>
      <w:r w:rsidRPr="002B08DF">
        <w:rPr>
          <w:rFonts w:hint="eastAsia"/>
          <w:bCs/>
          <w:szCs w:val="21"/>
          <w:lang w:eastAsia="zh-CN"/>
        </w:rPr>
        <w:t>比选编号：</w:t>
      </w:r>
      <w:r w:rsidRPr="006955FD">
        <w:rPr>
          <w:bCs/>
          <w:szCs w:val="21"/>
          <w:lang w:eastAsia="zh-CN"/>
        </w:rPr>
        <w:t>FAP1-P-GKBX-202402-001</w:t>
      </w:r>
    </w:p>
    <w:p w:rsidR="00161176" w:rsidRPr="004B2CF4" w:rsidRDefault="00161176" w:rsidP="00161176">
      <w:pPr>
        <w:spacing w:line="360" w:lineRule="auto"/>
        <w:ind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99653F">
        <w:rPr>
          <w:rFonts w:asciiTheme="minorEastAsia" w:eastAsiaTheme="minorEastAsia" w:hAnsiTheme="minorEastAsia" w:hint="eastAsia"/>
          <w:bCs/>
          <w:sz w:val="24"/>
          <w:szCs w:val="24"/>
          <w:lang w:eastAsia="zh-CN"/>
        </w:rPr>
        <w:t>原料适应性技改项目</w:t>
      </w:r>
      <w:r w:rsidRPr="00E20B08">
        <w:rPr>
          <w:rFonts w:asciiTheme="minorEastAsia" w:eastAsiaTheme="minorEastAsia" w:hAnsiTheme="minorEastAsia" w:hint="eastAsia"/>
          <w:bCs/>
          <w:sz w:val="24"/>
          <w:szCs w:val="24"/>
          <w:lang w:eastAsia="zh-CN"/>
        </w:rPr>
        <w:t>配套储运及其它辅助系统空压站改造微热再生吸附式干燥机请购</w:t>
      </w:r>
      <w:r w:rsidRPr="004B2CF4">
        <w:rPr>
          <w:rFonts w:asciiTheme="minorEastAsia" w:eastAsiaTheme="minorEastAsia" w:hAnsiTheme="minorEastAsia" w:hint="eastAsia"/>
          <w:bCs/>
          <w:sz w:val="24"/>
          <w:szCs w:val="24"/>
          <w:lang w:eastAsia="zh-CN"/>
        </w:rPr>
        <w:t>（项目编号：</w:t>
      </w:r>
      <w:r w:rsidRPr="00E20B08">
        <w:rPr>
          <w:rFonts w:asciiTheme="minorEastAsia" w:eastAsiaTheme="minorEastAsia" w:hAnsiTheme="minorEastAsia"/>
          <w:bCs/>
          <w:sz w:val="24"/>
          <w:szCs w:val="24"/>
          <w:lang w:eastAsia="zh-CN"/>
        </w:rPr>
        <w:t>FAP1-P-GKBX-202402-001</w:t>
      </w:r>
      <w:r w:rsidRPr="004B2CF4">
        <w:rPr>
          <w:rFonts w:asciiTheme="minorEastAsia" w:eastAsiaTheme="minorEastAsia" w:hAnsiTheme="minorEastAsia" w:hint="eastAsia"/>
          <w:bCs/>
          <w:sz w:val="24"/>
          <w:szCs w:val="24"/>
          <w:lang w:eastAsia="zh-CN"/>
        </w:rPr>
        <w:t>）”进行国内公开比选，欢迎国内符合条件的供应商积极参选。</w:t>
      </w:r>
    </w:p>
    <w:p w:rsidR="00161176" w:rsidRPr="001A592B" w:rsidRDefault="00161176" w:rsidP="00161176">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161176" w:rsidRPr="00747836" w:rsidRDefault="00161176" w:rsidP="00161176">
      <w:pPr>
        <w:pStyle w:val="a3"/>
        <w:numPr>
          <w:ilvl w:val="0"/>
          <w:numId w:val="2"/>
        </w:numPr>
        <w:autoSpaceDE/>
        <w:autoSpaceDN/>
        <w:spacing w:before="0" w:line="360" w:lineRule="auto"/>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AC59F5">
        <w:rPr>
          <w:rFonts w:asciiTheme="minorEastAsia" w:eastAsiaTheme="minorEastAsia" w:hAnsiTheme="minorEastAsia" w:hint="eastAsia"/>
          <w:bCs/>
          <w:sz w:val="24"/>
          <w:szCs w:val="24"/>
          <w:lang w:eastAsia="zh-CN"/>
        </w:rPr>
        <w:t>原料适应性技改项目</w:t>
      </w:r>
      <w:r w:rsidRPr="0064414B">
        <w:rPr>
          <w:rFonts w:asciiTheme="minorEastAsia" w:eastAsiaTheme="minorEastAsia" w:hAnsiTheme="minorEastAsia" w:hint="eastAsia"/>
          <w:bCs/>
          <w:sz w:val="24"/>
          <w:szCs w:val="24"/>
          <w:lang w:eastAsia="zh-CN"/>
        </w:rPr>
        <w:t>配套储运及其它辅助系统空压站改造微热再生吸附式干燥机请购</w:t>
      </w:r>
      <w:r w:rsidRPr="00747836">
        <w:rPr>
          <w:rFonts w:asciiTheme="minorEastAsia" w:eastAsiaTheme="minorEastAsia" w:hAnsiTheme="minorEastAsia" w:hint="eastAsia"/>
          <w:bCs/>
          <w:sz w:val="24"/>
          <w:szCs w:val="24"/>
          <w:lang w:eastAsia="zh-CN"/>
        </w:rPr>
        <w:t>；</w:t>
      </w:r>
    </w:p>
    <w:p w:rsidR="00161176" w:rsidRDefault="00161176" w:rsidP="00161176">
      <w:pPr>
        <w:pStyle w:val="a3"/>
        <w:numPr>
          <w:ilvl w:val="0"/>
          <w:numId w:val="2"/>
        </w:numPr>
        <w:autoSpaceDE/>
        <w:autoSpaceDN/>
        <w:spacing w:before="0" w:line="360" w:lineRule="auto"/>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p>
    <w:tbl>
      <w:tblPr>
        <w:tblW w:w="7952" w:type="dxa"/>
        <w:jc w:val="center"/>
        <w:tblLook w:val="04A0" w:firstRow="1" w:lastRow="0" w:firstColumn="1" w:lastColumn="0" w:noHBand="0" w:noVBand="1"/>
      </w:tblPr>
      <w:tblGrid>
        <w:gridCol w:w="998"/>
        <w:gridCol w:w="1431"/>
        <w:gridCol w:w="1413"/>
        <w:gridCol w:w="3402"/>
        <w:gridCol w:w="708"/>
      </w:tblGrid>
      <w:tr w:rsidR="00161176" w:rsidRPr="00026B06" w:rsidTr="00FA6BDB">
        <w:trPr>
          <w:trHeight w:val="624"/>
          <w:jc w:val="center"/>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176" w:rsidRPr="00026B06" w:rsidRDefault="00161176" w:rsidP="00FA6BDB">
            <w:pPr>
              <w:widowControl/>
              <w:spacing w:line="360" w:lineRule="auto"/>
              <w:jc w:val="center"/>
              <w:rPr>
                <w:b/>
                <w:bCs/>
                <w:color w:val="000000" w:themeColor="text1"/>
                <w:sz w:val="20"/>
                <w:szCs w:val="20"/>
              </w:rPr>
            </w:pPr>
            <w:proofErr w:type="spellStart"/>
            <w:r w:rsidRPr="00026B06">
              <w:rPr>
                <w:rFonts w:hint="eastAsia"/>
                <w:b/>
                <w:bCs/>
                <w:color w:val="000000" w:themeColor="text1"/>
                <w:sz w:val="20"/>
                <w:szCs w:val="20"/>
              </w:rPr>
              <w:t>序号</w:t>
            </w:r>
            <w:proofErr w:type="spellEnd"/>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161176" w:rsidRPr="00026B06" w:rsidRDefault="00161176" w:rsidP="00FA6BDB">
            <w:pPr>
              <w:widowControl/>
              <w:spacing w:line="360" w:lineRule="auto"/>
              <w:jc w:val="center"/>
              <w:rPr>
                <w:b/>
                <w:bCs/>
                <w:color w:val="000000" w:themeColor="text1"/>
                <w:sz w:val="20"/>
                <w:szCs w:val="20"/>
              </w:rPr>
            </w:pPr>
            <w:proofErr w:type="spellStart"/>
            <w:r w:rsidRPr="00026B06">
              <w:rPr>
                <w:rFonts w:hint="eastAsia"/>
                <w:b/>
                <w:bCs/>
                <w:color w:val="000000" w:themeColor="text1"/>
                <w:sz w:val="20"/>
                <w:szCs w:val="20"/>
              </w:rPr>
              <w:t>位号</w:t>
            </w:r>
            <w:proofErr w:type="spellEnd"/>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161176" w:rsidRPr="00026B06" w:rsidRDefault="00161176" w:rsidP="00FA6BDB">
            <w:pPr>
              <w:widowControl/>
              <w:spacing w:line="360" w:lineRule="auto"/>
              <w:jc w:val="center"/>
              <w:rPr>
                <w:b/>
                <w:bCs/>
                <w:color w:val="000000" w:themeColor="text1"/>
                <w:sz w:val="20"/>
                <w:szCs w:val="20"/>
              </w:rPr>
            </w:pPr>
            <w:proofErr w:type="spellStart"/>
            <w:r w:rsidRPr="00026B06">
              <w:rPr>
                <w:rFonts w:hint="eastAsia"/>
                <w:b/>
                <w:bCs/>
                <w:color w:val="000000" w:themeColor="text1"/>
                <w:sz w:val="20"/>
                <w:szCs w:val="20"/>
              </w:rPr>
              <w:t>设备名称</w:t>
            </w:r>
            <w:proofErr w:type="spellEnd"/>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161176" w:rsidRPr="00026B06" w:rsidRDefault="00161176" w:rsidP="00FA6BDB">
            <w:pPr>
              <w:widowControl/>
              <w:spacing w:line="360" w:lineRule="auto"/>
              <w:jc w:val="center"/>
              <w:rPr>
                <w:b/>
                <w:bCs/>
                <w:color w:val="000000" w:themeColor="text1"/>
                <w:sz w:val="20"/>
                <w:szCs w:val="20"/>
              </w:rPr>
            </w:pPr>
            <w:proofErr w:type="spellStart"/>
            <w:r w:rsidRPr="00026B06">
              <w:rPr>
                <w:rFonts w:hint="eastAsia"/>
                <w:b/>
                <w:bCs/>
                <w:color w:val="000000" w:themeColor="text1"/>
                <w:sz w:val="20"/>
                <w:szCs w:val="20"/>
              </w:rPr>
              <w:t>工艺参数</w:t>
            </w:r>
            <w:proofErr w:type="spellEnd"/>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61176" w:rsidRPr="00026B06" w:rsidRDefault="00161176" w:rsidP="00FA6BDB">
            <w:pPr>
              <w:widowControl/>
              <w:spacing w:line="360" w:lineRule="auto"/>
              <w:jc w:val="center"/>
              <w:rPr>
                <w:b/>
                <w:bCs/>
                <w:color w:val="000000" w:themeColor="text1"/>
                <w:sz w:val="20"/>
                <w:szCs w:val="20"/>
              </w:rPr>
            </w:pPr>
            <w:proofErr w:type="spellStart"/>
            <w:r w:rsidRPr="00026B06">
              <w:rPr>
                <w:rFonts w:hint="eastAsia"/>
                <w:b/>
                <w:bCs/>
                <w:color w:val="000000" w:themeColor="text1"/>
                <w:sz w:val="20"/>
                <w:szCs w:val="20"/>
              </w:rPr>
              <w:t>数量</w:t>
            </w:r>
            <w:proofErr w:type="spellEnd"/>
          </w:p>
        </w:tc>
      </w:tr>
      <w:tr w:rsidR="00161176" w:rsidRPr="00026B06" w:rsidTr="00FA6BDB">
        <w:trPr>
          <w:trHeight w:val="801"/>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161176" w:rsidRPr="00026B06" w:rsidRDefault="00161176" w:rsidP="00FA6BDB">
            <w:pPr>
              <w:widowControl/>
              <w:spacing w:line="360" w:lineRule="auto"/>
              <w:jc w:val="center"/>
              <w:rPr>
                <w:color w:val="000000" w:themeColor="text1"/>
                <w:sz w:val="20"/>
                <w:szCs w:val="20"/>
              </w:rPr>
            </w:pPr>
            <w:r w:rsidRPr="00026B06">
              <w:rPr>
                <w:rFonts w:hint="eastAsia"/>
                <w:color w:val="000000" w:themeColor="text1"/>
                <w:sz w:val="20"/>
                <w:szCs w:val="20"/>
              </w:rPr>
              <w:t>1</w:t>
            </w:r>
          </w:p>
        </w:tc>
        <w:tc>
          <w:tcPr>
            <w:tcW w:w="1431" w:type="dxa"/>
            <w:tcBorders>
              <w:top w:val="nil"/>
              <w:left w:val="nil"/>
              <w:bottom w:val="single" w:sz="4" w:space="0" w:color="auto"/>
              <w:right w:val="single" w:sz="4" w:space="0" w:color="auto"/>
            </w:tcBorders>
            <w:shd w:val="clear" w:color="auto" w:fill="auto"/>
            <w:noWrap/>
            <w:vAlign w:val="center"/>
            <w:hideMark/>
          </w:tcPr>
          <w:p w:rsidR="00161176" w:rsidRPr="00026B06" w:rsidRDefault="00161176" w:rsidP="00FA6BDB">
            <w:pPr>
              <w:widowControl/>
              <w:spacing w:line="360" w:lineRule="auto"/>
              <w:jc w:val="center"/>
              <w:rPr>
                <w:color w:val="000000" w:themeColor="text1"/>
                <w:sz w:val="20"/>
                <w:szCs w:val="20"/>
              </w:rPr>
            </w:pPr>
            <w:r w:rsidRPr="00026B06">
              <w:rPr>
                <w:rFonts w:hint="eastAsia"/>
                <w:color w:val="000000" w:themeColor="text1"/>
                <w:sz w:val="20"/>
                <w:szCs w:val="20"/>
              </w:rPr>
              <w:t>56-PK-101G</w:t>
            </w:r>
          </w:p>
        </w:tc>
        <w:tc>
          <w:tcPr>
            <w:tcW w:w="1413" w:type="dxa"/>
            <w:tcBorders>
              <w:top w:val="nil"/>
              <w:left w:val="nil"/>
              <w:bottom w:val="single" w:sz="4" w:space="0" w:color="auto"/>
              <w:right w:val="single" w:sz="4" w:space="0" w:color="auto"/>
            </w:tcBorders>
            <w:shd w:val="clear" w:color="auto" w:fill="auto"/>
            <w:vAlign w:val="center"/>
            <w:hideMark/>
          </w:tcPr>
          <w:p w:rsidR="00161176" w:rsidRPr="00026B06" w:rsidRDefault="00161176" w:rsidP="00FA6BDB">
            <w:pPr>
              <w:widowControl/>
              <w:spacing w:line="360" w:lineRule="auto"/>
              <w:jc w:val="center"/>
              <w:rPr>
                <w:color w:val="000000" w:themeColor="text1"/>
                <w:sz w:val="20"/>
                <w:szCs w:val="20"/>
                <w:lang w:eastAsia="zh-CN"/>
              </w:rPr>
            </w:pPr>
            <w:r w:rsidRPr="00026B06">
              <w:rPr>
                <w:rFonts w:hint="eastAsia"/>
                <w:color w:val="000000" w:themeColor="text1"/>
                <w:sz w:val="20"/>
                <w:szCs w:val="20"/>
                <w:lang w:eastAsia="zh-CN"/>
              </w:rPr>
              <w:t xml:space="preserve"> 微热再生吸附式干燥机A</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rsidR="00161176" w:rsidRPr="00026B06" w:rsidRDefault="00161176" w:rsidP="00FA6BDB">
            <w:pPr>
              <w:widowControl/>
              <w:spacing w:line="360" w:lineRule="auto"/>
              <w:rPr>
                <w:color w:val="000000" w:themeColor="text1"/>
                <w:sz w:val="20"/>
                <w:szCs w:val="20"/>
                <w:lang w:eastAsia="zh-CN"/>
              </w:rPr>
            </w:pPr>
            <w:r w:rsidRPr="00026B06">
              <w:rPr>
                <w:rFonts w:hint="eastAsia"/>
                <w:color w:val="000000" w:themeColor="text1"/>
                <w:sz w:val="20"/>
                <w:szCs w:val="20"/>
                <w:lang w:eastAsia="zh-CN"/>
              </w:rPr>
              <w:t>最大工作压力0.88MPa、处理气量200Nm³/min、压力损失≤0.04MPa、控制方式：时间自动控制及露点自动控制、工作方式：两塔交替连续工作、再生方式：微热再生 120℃±20℃、干燥剂分子筛（或活性氧化铝干燥剂）、进气含油量0.1mg/m³</w:t>
            </w:r>
          </w:p>
        </w:tc>
        <w:tc>
          <w:tcPr>
            <w:tcW w:w="708" w:type="dxa"/>
            <w:tcBorders>
              <w:top w:val="nil"/>
              <w:left w:val="nil"/>
              <w:bottom w:val="single" w:sz="4" w:space="0" w:color="auto"/>
              <w:right w:val="single" w:sz="4" w:space="0" w:color="auto"/>
            </w:tcBorders>
            <w:shd w:val="clear" w:color="auto" w:fill="auto"/>
            <w:noWrap/>
            <w:vAlign w:val="center"/>
            <w:hideMark/>
          </w:tcPr>
          <w:p w:rsidR="00161176" w:rsidRPr="00026B06" w:rsidRDefault="00161176" w:rsidP="00FA6BDB">
            <w:pPr>
              <w:widowControl/>
              <w:spacing w:line="360" w:lineRule="auto"/>
              <w:jc w:val="center"/>
              <w:rPr>
                <w:color w:val="000000" w:themeColor="text1"/>
                <w:sz w:val="20"/>
                <w:szCs w:val="20"/>
              </w:rPr>
            </w:pPr>
            <w:r w:rsidRPr="00026B06">
              <w:rPr>
                <w:rFonts w:hint="eastAsia"/>
                <w:color w:val="000000" w:themeColor="text1"/>
                <w:sz w:val="20"/>
                <w:szCs w:val="20"/>
              </w:rPr>
              <w:t>1套</w:t>
            </w:r>
          </w:p>
        </w:tc>
      </w:tr>
      <w:tr w:rsidR="00161176" w:rsidRPr="00026B06" w:rsidTr="00FA6BDB">
        <w:trPr>
          <w:trHeight w:val="2515"/>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161176" w:rsidRPr="00026B06" w:rsidRDefault="00161176" w:rsidP="00FA6BDB">
            <w:pPr>
              <w:widowControl/>
              <w:spacing w:line="360" w:lineRule="auto"/>
              <w:jc w:val="center"/>
              <w:rPr>
                <w:color w:val="000000" w:themeColor="text1"/>
                <w:sz w:val="20"/>
                <w:szCs w:val="20"/>
              </w:rPr>
            </w:pPr>
            <w:r w:rsidRPr="00026B06">
              <w:rPr>
                <w:rFonts w:hint="eastAsia"/>
                <w:color w:val="000000" w:themeColor="text1"/>
                <w:sz w:val="20"/>
                <w:szCs w:val="20"/>
              </w:rPr>
              <w:t>2</w:t>
            </w:r>
          </w:p>
        </w:tc>
        <w:tc>
          <w:tcPr>
            <w:tcW w:w="1431" w:type="dxa"/>
            <w:tcBorders>
              <w:top w:val="nil"/>
              <w:left w:val="nil"/>
              <w:bottom w:val="single" w:sz="4" w:space="0" w:color="auto"/>
              <w:right w:val="single" w:sz="4" w:space="0" w:color="auto"/>
            </w:tcBorders>
            <w:shd w:val="clear" w:color="auto" w:fill="auto"/>
            <w:noWrap/>
            <w:vAlign w:val="center"/>
            <w:hideMark/>
          </w:tcPr>
          <w:p w:rsidR="00161176" w:rsidRPr="00026B06" w:rsidRDefault="00161176" w:rsidP="00FA6BDB">
            <w:pPr>
              <w:widowControl/>
              <w:spacing w:line="360" w:lineRule="auto"/>
              <w:jc w:val="center"/>
              <w:rPr>
                <w:color w:val="000000" w:themeColor="text1"/>
                <w:sz w:val="20"/>
                <w:szCs w:val="20"/>
              </w:rPr>
            </w:pPr>
            <w:r w:rsidRPr="00026B06">
              <w:rPr>
                <w:rFonts w:hint="eastAsia"/>
                <w:color w:val="000000" w:themeColor="text1"/>
                <w:sz w:val="20"/>
                <w:szCs w:val="20"/>
              </w:rPr>
              <w:t>56-PK-101H</w:t>
            </w:r>
          </w:p>
        </w:tc>
        <w:tc>
          <w:tcPr>
            <w:tcW w:w="1413" w:type="dxa"/>
            <w:tcBorders>
              <w:top w:val="nil"/>
              <w:left w:val="nil"/>
              <w:bottom w:val="single" w:sz="4" w:space="0" w:color="auto"/>
              <w:right w:val="single" w:sz="4" w:space="0" w:color="auto"/>
            </w:tcBorders>
            <w:shd w:val="clear" w:color="auto" w:fill="auto"/>
            <w:vAlign w:val="center"/>
            <w:hideMark/>
          </w:tcPr>
          <w:p w:rsidR="00161176" w:rsidRPr="00026B06" w:rsidRDefault="00161176" w:rsidP="00FA6BDB">
            <w:pPr>
              <w:widowControl/>
              <w:spacing w:line="360" w:lineRule="auto"/>
              <w:jc w:val="center"/>
              <w:rPr>
                <w:color w:val="000000" w:themeColor="text1"/>
                <w:sz w:val="20"/>
                <w:szCs w:val="20"/>
                <w:lang w:eastAsia="zh-CN"/>
              </w:rPr>
            </w:pPr>
            <w:r w:rsidRPr="00026B06">
              <w:rPr>
                <w:rFonts w:hint="eastAsia"/>
                <w:color w:val="000000" w:themeColor="text1"/>
                <w:sz w:val="20"/>
                <w:szCs w:val="20"/>
                <w:lang w:eastAsia="zh-CN"/>
              </w:rPr>
              <w:t xml:space="preserve"> 微热再生吸附式干燥机B</w:t>
            </w:r>
          </w:p>
        </w:tc>
        <w:tc>
          <w:tcPr>
            <w:tcW w:w="3402" w:type="dxa"/>
            <w:vMerge/>
            <w:tcBorders>
              <w:top w:val="nil"/>
              <w:left w:val="single" w:sz="4" w:space="0" w:color="auto"/>
              <w:bottom w:val="single" w:sz="4" w:space="0" w:color="auto"/>
              <w:right w:val="single" w:sz="4" w:space="0" w:color="auto"/>
            </w:tcBorders>
            <w:vAlign w:val="center"/>
            <w:hideMark/>
          </w:tcPr>
          <w:p w:rsidR="00161176" w:rsidRPr="00026B06" w:rsidRDefault="00161176" w:rsidP="00FA6BDB">
            <w:pPr>
              <w:widowControl/>
              <w:spacing w:line="360" w:lineRule="auto"/>
              <w:rPr>
                <w:color w:val="000000" w:themeColor="text1"/>
                <w:sz w:val="20"/>
                <w:szCs w:val="20"/>
                <w:lang w:eastAsia="zh-CN"/>
              </w:rPr>
            </w:pPr>
          </w:p>
        </w:tc>
        <w:tc>
          <w:tcPr>
            <w:tcW w:w="708" w:type="dxa"/>
            <w:tcBorders>
              <w:top w:val="nil"/>
              <w:left w:val="nil"/>
              <w:bottom w:val="single" w:sz="4" w:space="0" w:color="auto"/>
              <w:right w:val="single" w:sz="4" w:space="0" w:color="auto"/>
            </w:tcBorders>
            <w:shd w:val="clear" w:color="auto" w:fill="auto"/>
            <w:noWrap/>
            <w:vAlign w:val="center"/>
            <w:hideMark/>
          </w:tcPr>
          <w:p w:rsidR="00161176" w:rsidRPr="00026B06" w:rsidRDefault="00161176" w:rsidP="00FA6BDB">
            <w:pPr>
              <w:widowControl/>
              <w:spacing w:line="360" w:lineRule="auto"/>
              <w:jc w:val="center"/>
              <w:rPr>
                <w:color w:val="000000" w:themeColor="text1"/>
                <w:sz w:val="20"/>
                <w:szCs w:val="20"/>
              </w:rPr>
            </w:pPr>
            <w:r w:rsidRPr="00026B06">
              <w:rPr>
                <w:rFonts w:hint="eastAsia"/>
                <w:color w:val="000000" w:themeColor="text1"/>
                <w:sz w:val="20"/>
                <w:szCs w:val="20"/>
              </w:rPr>
              <w:t>1套</w:t>
            </w:r>
          </w:p>
        </w:tc>
      </w:tr>
      <w:tr w:rsidR="00161176" w:rsidRPr="00026B06" w:rsidTr="00FA6BDB">
        <w:trPr>
          <w:trHeight w:val="698"/>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161176" w:rsidRPr="00026B06" w:rsidRDefault="00161176" w:rsidP="00FA6BDB">
            <w:pPr>
              <w:widowControl/>
              <w:spacing w:line="360" w:lineRule="auto"/>
              <w:jc w:val="center"/>
              <w:rPr>
                <w:color w:val="000000" w:themeColor="text1"/>
                <w:sz w:val="20"/>
                <w:szCs w:val="20"/>
              </w:rPr>
            </w:pPr>
            <w:r w:rsidRPr="00026B06">
              <w:rPr>
                <w:rFonts w:hint="eastAsia"/>
                <w:color w:val="000000" w:themeColor="text1"/>
                <w:sz w:val="20"/>
                <w:szCs w:val="20"/>
              </w:rPr>
              <w:t>3</w:t>
            </w:r>
          </w:p>
        </w:tc>
        <w:tc>
          <w:tcPr>
            <w:tcW w:w="1431" w:type="dxa"/>
            <w:tcBorders>
              <w:top w:val="nil"/>
              <w:left w:val="nil"/>
              <w:bottom w:val="single" w:sz="4" w:space="0" w:color="auto"/>
              <w:right w:val="single" w:sz="4" w:space="0" w:color="auto"/>
            </w:tcBorders>
            <w:shd w:val="clear" w:color="auto" w:fill="auto"/>
            <w:noWrap/>
            <w:vAlign w:val="center"/>
            <w:hideMark/>
          </w:tcPr>
          <w:p w:rsidR="00161176" w:rsidRPr="00026B06" w:rsidRDefault="00161176" w:rsidP="00FA6BDB">
            <w:pPr>
              <w:widowControl/>
              <w:spacing w:line="360" w:lineRule="auto"/>
              <w:jc w:val="center"/>
              <w:rPr>
                <w:rFonts w:ascii="Arial" w:hAnsi="Arial" w:cs="Arial"/>
                <w:color w:val="000000" w:themeColor="text1"/>
              </w:rPr>
            </w:pPr>
            <w:r w:rsidRPr="00026B06">
              <w:rPr>
                <w:rFonts w:hint="eastAsia"/>
                <w:color w:val="000000" w:themeColor="text1"/>
                <w:sz w:val="20"/>
                <w:szCs w:val="20"/>
              </w:rPr>
              <w:t>56</w:t>
            </w:r>
            <w:r w:rsidRPr="00026B06">
              <w:rPr>
                <w:rFonts w:ascii="Arial" w:hAnsi="Arial" w:cs="Arial"/>
                <w:color w:val="000000" w:themeColor="text1"/>
              </w:rPr>
              <w:t>-F-104G</w:t>
            </w:r>
          </w:p>
          <w:p w:rsidR="00161176" w:rsidRPr="00026B06" w:rsidRDefault="00161176" w:rsidP="00FA6BDB">
            <w:pPr>
              <w:widowControl/>
              <w:spacing w:line="360" w:lineRule="auto"/>
              <w:jc w:val="center"/>
              <w:rPr>
                <w:color w:val="000000" w:themeColor="text1"/>
                <w:sz w:val="20"/>
                <w:szCs w:val="20"/>
              </w:rPr>
            </w:pPr>
            <w:r w:rsidRPr="00026B06">
              <w:rPr>
                <w:rFonts w:ascii="Arial" w:hAnsi="Arial" w:cs="Arial"/>
                <w:color w:val="000000" w:themeColor="text1"/>
              </w:rPr>
              <w:t>/H/I/J</w:t>
            </w:r>
          </w:p>
        </w:tc>
        <w:tc>
          <w:tcPr>
            <w:tcW w:w="1413" w:type="dxa"/>
            <w:tcBorders>
              <w:top w:val="nil"/>
              <w:left w:val="nil"/>
              <w:bottom w:val="single" w:sz="4" w:space="0" w:color="auto"/>
              <w:right w:val="single" w:sz="4" w:space="0" w:color="auto"/>
            </w:tcBorders>
            <w:shd w:val="clear" w:color="auto" w:fill="auto"/>
            <w:vAlign w:val="center"/>
            <w:hideMark/>
          </w:tcPr>
          <w:p w:rsidR="00161176" w:rsidRPr="00026B06" w:rsidRDefault="00161176" w:rsidP="00FA6BDB">
            <w:pPr>
              <w:widowControl/>
              <w:spacing w:line="360" w:lineRule="auto"/>
              <w:jc w:val="center"/>
              <w:rPr>
                <w:color w:val="000000" w:themeColor="text1"/>
                <w:sz w:val="20"/>
                <w:szCs w:val="20"/>
              </w:rPr>
            </w:pPr>
            <w:r w:rsidRPr="00026B06">
              <w:rPr>
                <w:rFonts w:hint="eastAsia"/>
                <w:color w:val="000000" w:themeColor="text1"/>
                <w:sz w:val="20"/>
                <w:szCs w:val="20"/>
              </w:rPr>
              <w:t xml:space="preserve"> </w:t>
            </w:r>
            <w:proofErr w:type="spellStart"/>
            <w:r w:rsidRPr="00026B06">
              <w:rPr>
                <w:rFonts w:hint="eastAsia"/>
                <w:color w:val="000000" w:themeColor="text1"/>
                <w:sz w:val="20"/>
                <w:szCs w:val="20"/>
              </w:rPr>
              <w:t>粉尘过滤器</w:t>
            </w:r>
            <w:proofErr w:type="spellEnd"/>
          </w:p>
        </w:tc>
        <w:tc>
          <w:tcPr>
            <w:tcW w:w="34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61176" w:rsidRPr="00026B06" w:rsidRDefault="00161176" w:rsidP="00FA6BDB">
            <w:pPr>
              <w:widowControl/>
              <w:spacing w:line="360" w:lineRule="auto"/>
              <w:jc w:val="center"/>
              <w:rPr>
                <w:color w:val="000000" w:themeColor="text1"/>
                <w:sz w:val="20"/>
                <w:szCs w:val="20"/>
              </w:rPr>
            </w:pPr>
            <w:proofErr w:type="spellStart"/>
            <w:r w:rsidRPr="00026B06">
              <w:rPr>
                <w:rFonts w:hint="eastAsia"/>
                <w:color w:val="000000" w:themeColor="text1"/>
                <w:sz w:val="20"/>
                <w:szCs w:val="20"/>
              </w:rPr>
              <w:t>详见设计规格书</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rsidR="00161176" w:rsidRPr="00026B06" w:rsidRDefault="00161176" w:rsidP="00FA6BDB">
            <w:pPr>
              <w:widowControl/>
              <w:spacing w:line="360" w:lineRule="auto"/>
              <w:jc w:val="center"/>
              <w:rPr>
                <w:color w:val="000000" w:themeColor="text1"/>
                <w:sz w:val="20"/>
                <w:szCs w:val="20"/>
              </w:rPr>
            </w:pPr>
            <w:r w:rsidRPr="00026B06">
              <w:rPr>
                <w:rFonts w:hint="eastAsia"/>
                <w:color w:val="000000" w:themeColor="text1"/>
                <w:sz w:val="20"/>
                <w:szCs w:val="20"/>
              </w:rPr>
              <w:t>4个</w:t>
            </w:r>
          </w:p>
        </w:tc>
      </w:tr>
      <w:tr w:rsidR="00161176" w:rsidRPr="00026B06" w:rsidTr="00FA6BDB">
        <w:trPr>
          <w:trHeight w:val="598"/>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161176" w:rsidRPr="00026B06" w:rsidRDefault="00161176" w:rsidP="00FA6BDB">
            <w:pPr>
              <w:widowControl/>
              <w:spacing w:line="360" w:lineRule="auto"/>
              <w:jc w:val="center"/>
              <w:rPr>
                <w:color w:val="000000" w:themeColor="text1"/>
                <w:sz w:val="20"/>
                <w:szCs w:val="20"/>
              </w:rPr>
            </w:pPr>
            <w:r w:rsidRPr="00026B06">
              <w:rPr>
                <w:rFonts w:hint="eastAsia"/>
                <w:color w:val="000000" w:themeColor="text1"/>
                <w:sz w:val="20"/>
                <w:szCs w:val="20"/>
              </w:rPr>
              <w:t>4</w:t>
            </w:r>
          </w:p>
        </w:tc>
        <w:tc>
          <w:tcPr>
            <w:tcW w:w="1431" w:type="dxa"/>
            <w:tcBorders>
              <w:top w:val="nil"/>
              <w:left w:val="nil"/>
              <w:bottom w:val="single" w:sz="4" w:space="0" w:color="auto"/>
              <w:right w:val="single" w:sz="4" w:space="0" w:color="auto"/>
            </w:tcBorders>
            <w:shd w:val="clear" w:color="auto" w:fill="auto"/>
            <w:noWrap/>
            <w:vAlign w:val="center"/>
            <w:hideMark/>
          </w:tcPr>
          <w:p w:rsidR="00161176" w:rsidRPr="00026B06" w:rsidRDefault="00161176" w:rsidP="00FA6BDB">
            <w:pPr>
              <w:widowControl/>
              <w:spacing w:line="360" w:lineRule="auto"/>
              <w:jc w:val="center"/>
              <w:rPr>
                <w:color w:val="000000" w:themeColor="text1"/>
                <w:sz w:val="20"/>
                <w:szCs w:val="20"/>
              </w:rPr>
            </w:pPr>
            <w:r w:rsidRPr="00026B06">
              <w:rPr>
                <w:rFonts w:hint="eastAsia"/>
                <w:color w:val="000000" w:themeColor="text1"/>
                <w:sz w:val="20"/>
                <w:szCs w:val="20"/>
              </w:rPr>
              <w:t>56</w:t>
            </w:r>
            <w:r w:rsidRPr="00026B06">
              <w:rPr>
                <w:rFonts w:ascii="Arial" w:hAnsi="Arial" w:cs="Arial"/>
                <w:color w:val="000000" w:themeColor="text1"/>
              </w:rPr>
              <w:t>-F-103D/E</w:t>
            </w:r>
          </w:p>
        </w:tc>
        <w:tc>
          <w:tcPr>
            <w:tcW w:w="1413" w:type="dxa"/>
            <w:tcBorders>
              <w:top w:val="nil"/>
              <w:left w:val="nil"/>
              <w:bottom w:val="single" w:sz="4" w:space="0" w:color="auto"/>
              <w:right w:val="single" w:sz="4" w:space="0" w:color="auto"/>
            </w:tcBorders>
            <w:shd w:val="clear" w:color="auto" w:fill="auto"/>
            <w:vAlign w:val="center"/>
            <w:hideMark/>
          </w:tcPr>
          <w:p w:rsidR="00161176" w:rsidRPr="00026B06" w:rsidRDefault="00161176" w:rsidP="00FA6BDB">
            <w:pPr>
              <w:widowControl/>
              <w:spacing w:line="360" w:lineRule="auto"/>
              <w:jc w:val="center"/>
              <w:rPr>
                <w:color w:val="000000" w:themeColor="text1"/>
                <w:sz w:val="20"/>
                <w:szCs w:val="20"/>
              </w:rPr>
            </w:pPr>
            <w:r w:rsidRPr="00026B06">
              <w:rPr>
                <w:rFonts w:hint="eastAsia"/>
                <w:color w:val="000000" w:themeColor="text1"/>
                <w:sz w:val="20"/>
                <w:szCs w:val="20"/>
              </w:rPr>
              <w:t xml:space="preserve"> </w:t>
            </w:r>
            <w:proofErr w:type="spellStart"/>
            <w:r w:rsidRPr="00026B06">
              <w:rPr>
                <w:rFonts w:hint="eastAsia"/>
                <w:color w:val="000000" w:themeColor="text1"/>
                <w:sz w:val="20"/>
                <w:szCs w:val="20"/>
              </w:rPr>
              <w:t>高效除油器</w:t>
            </w:r>
            <w:proofErr w:type="spellEnd"/>
          </w:p>
        </w:tc>
        <w:tc>
          <w:tcPr>
            <w:tcW w:w="3402" w:type="dxa"/>
            <w:vMerge/>
            <w:tcBorders>
              <w:top w:val="nil"/>
              <w:left w:val="single" w:sz="4" w:space="0" w:color="auto"/>
              <w:bottom w:val="single" w:sz="4" w:space="0" w:color="auto"/>
              <w:right w:val="single" w:sz="4" w:space="0" w:color="auto"/>
            </w:tcBorders>
            <w:vAlign w:val="center"/>
            <w:hideMark/>
          </w:tcPr>
          <w:p w:rsidR="00161176" w:rsidRPr="00026B06" w:rsidRDefault="00161176" w:rsidP="00FA6BDB">
            <w:pPr>
              <w:widowControl/>
              <w:spacing w:line="360" w:lineRule="auto"/>
              <w:rPr>
                <w:color w:val="000000" w:themeColor="text1"/>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161176" w:rsidRPr="00026B06" w:rsidRDefault="00161176" w:rsidP="00FA6BDB">
            <w:pPr>
              <w:widowControl/>
              <w:spacing w:line="360" w:lineRule="auto"/>
              <w:jc w:val="center"/>
              <w:rPr>
                <w:color w:val="000000" w:themeColor="text1"/>
                <w:sz w:val="20"/>
                <w:szCs w:val="20"/>
              </w:rPr>
            </w:pPr>
            <w:r w:rsidRPr="00026B06">
              <w:rPr>
                <w:rFonts w:hint="eastAsia"/>
                <w:color w:val="000000" w:themeColor="text1"/>
                <w:sz w:val="20"/>
                <w:szCs w:val="20"/>
              </w:rPr>
              <w:t>2个</w:t>
            </w:r>
          </w:p>
        </w:tc>
      </w:tr>
    </w:tbl>
    <w:p w:rsidR="00161176" w:rsidRPr="007825C7" w:rsidRDefault="00161176" w:rsidP="00161176">
      <w:pPr>
        <w:pStyle w:val="a3"/>
        <w:autoSpaceDE/>
        <w:autoSpaceDN/>
        <w:spacing w:before="0" w:line="360" w:lineRule="auto"/>
        <w:ind w:left="772" w:firstLine="0"/>
        <w:rPr>
          <w:rFonts w:asciiTheme="minorEastAsia" w:eastAsiaTheme="minorEastAsia" w:hAnsiTheme="minorEastAsia"/>
          <w:bCs/>
          <w:sz w:val="24"/>
          <w:szCs w:val="24"/>
          <w:lang w:eastAsia="zh-CN"/>
        </w:rPr>
      </w:pPr>
    </w:p>
    <w:p w:rsidR="00161176" w:rsidRDefault="00161176" w:rsidP="00161176">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p>
    <w:p w:rsidR="00161176" w:rsidRPr="00747836" w:rsidRDefault="00161176" w:rsidP="00161176">
      <w:pPr>
        <w:pStyle w:val="1"/>
        <w:spacing w:line="360" w:lineRule="auto"/>
        <w:ind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1.</w:t>
      </w:r>
      <w:r w:rsidRPr="00747836">
        <w:rPr>
          <w:rFonts w:asciiTheme="minorEastAsia" w:eastAsiaTheme="minorEastAsia" w:hAnsiTheme="minorEastAsia" w:cs="宋体" w:hint="eastAsia"/>
          <w:bCs/>
          <w:sz w:val="24"/>
          <w:szCs w:val="24"/>
        </w:rPr>
        <w:t>交货/工程地点：</w:t>
      </w:r>
      <w:r w:rsidRPr="002F2BE2">
        <w:rPr>
          <w:rFonts w:asciiTheme="minorEastAsia" w:eastAsiaTheme="minorEastAsia" w:hAnsiTheme="minorEastAsia" w:cs="宋体" w:hint="eastAsia"/>
          <w:bCs/>
          <w:sz w:val="24"/>
          <w:szCs w:val="24"/>
        </w:rPr>
        <w:t>福建</w:t>
      </w:r>
      <w:r>
        <w:rPr>
          <w:rFonts w:asciiTheme="minorEastAsia" w:eastAsiaTheme="minorEastAsia" w:hAnsiTheme="minorEastAsia" w:cs="宋体" w:hint="eastAsia"/>
          <w:bCs/>
          <w:sz w:val="24"/>
          <w:szCs w:val="24"/>
        </w:rPr>
        <w:t>福海创石油化工</w:t>
      </w:r>
      <w:r w:rsidRPr="002F2BE2">
        <w:rPr>
          <w:rFonts w:asciiTheme="minorEastAsia" w:eastAsiaTheme="minorEastAsia" w:hAnsiTheme="minorEastAsia" w:cs="宋体" w:hint="eastAsia"/>
          <w:bCs/>
          <w:sz w:val="24"/>
          <w:szCs w:val="24"/>
        </w:rPr>
        <w:t>有限公司</w:t>
      </w:r>
      <w:r>
        <w:rPr>
          <w:rFonts w:asciiTheme="minorEastAsia" w:eastAsiaTheme="minorEastAsia" w:hAnsiTheme="minorEastAsia" w:cs="宋体" w:hint="eastAsia"/>
          <w:bCs/>
          <w:sz w:val="24"/>
          <w:szCs w:val="24"/>
        </w:rPr>
        <w:t>指定地点</w:t>
      </w:r>
    </w:p>
    <w:p w:rsidR="00161176" w:rsidRDefault="00161176" w:rsidP="00161176">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w:t>
      </w:r>
      <w:r w:rsidRPr="00747836">
        <w:rPr>
          <w:rFonts w:asciiTheme="minorEastAsia" w:eastAsiaTheme="minorEastAsia" w:hAnsiTheme="minorEastAsia" w:hint="eastAsia"/>
          <w:bCs/>
          <w:sz w:val="24"/>
          <w:szCs w:val="24"/>
          <w:lang w:eastAsia="zh-CN"/>
        </w:rPr>
        <w:lastRenderedPageBreak/>
        <w:t>物资或服务进行参选，否则其比选文件将被拒绝。</w:t>
      </w:r>
    </w:p>
    <w:p w:rsidR="00161176" w:rsidRPr="006A333C" w:rsidRDefault="00161176" w:rsidP="00161176">
      <w:pPr>
        <w:pStyle w:val="a3"/>
        <w:numPr>
          <w:ilvl w:val="0"/>
          <w:numId w:val="2"/>
        </w:numPr>
        <w:adjustRightInd w:val="0"/>
        <w:spacing w:before="0" w:line="360" w:lineRule="auto"/>
        <w:ind w:left="0" w:firstLineChars="200" w:firstLine="480"/>
        <w:rPr>
          <w:rFonts w:asciiTheme="minorEastAsia" w:eastAsiaTheme="minorEastAsia" w:hAnsiTheme="minorEastAsia"/>
          <w:bCs/>
          <w:sz w:val="24"/>
          <w:szCs w:val="24"/>
          <w:lang w:eastAsia="zh-CN"/>
        </w:rPr>
      </w:pPr>
      <w:r w:rsidRPr="006A333C">
        <w:rPr>
          <w:rFonts w:asciiTheme="minorEastAsia" w:eastAsiaTheme="minorEastAsia" w:hAnsiTheme="minorEastAsia"/>
          <w:bCs/>
          <w:sz w:val="24"/>
          <w:szCs w:val="24"/>
          <w:lang w:eastAsia="zh-CN"/>
        </w:rPr>
        <w:t>控制价：￥</w:t>
      </w:r>
      <w:r>
        <w:rPr>
          <w:rFonts w:asciiTheme="minorEastAsia" w:eastAsiaTheme="minorEastAsia" w:hAnsiTheme="minorEastAsia"/>
          <w:bCs/>
          <w:sz w:val="24"/>
          <w:szCs w:val="24"/>
          <w:lang w:eastAsia="zh-CN"/>
        </w:rPr>
        <w:t>900</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000.00</w:t>
      </w:r>
      <w:r>
        <w:rPr>
          <w:rFonts w:asciiTheme="minorEastAsia" w:eastAsiaTheme="minorEastAsia" w:hAnsiTheme="minorEastAsia" w:hint="eastAsia"/>
          <w:bCs/>
          <w:sz w:val="24"/>
          <w:szCs w:val="24"/>
          <w:lang w:eastAsia="zh-CN"/>
        </w:rPr>
        <w:t>元</w:t>
      </w:r>
      <w:r w:rsidRPr="006A333C">
        <w:rPr>
          <w:rFonts w:asciiTheme="minorEastAsia" w:eastAsiaTheme="minorEastAsia" w:hAnsiTheme="minorEastAsia"/>
          <w:bCs/>
          <w:sz w:val="24"/>
          <w:szCs w:val="24"/>
          <w:lang w:eastAsia="zh-CN"/>
        </w:rPr>
        <w:t>。</w:t>
      </w:r>
    </w:p>
    <w:p w:rsidR="00161176" w:rsidRDefault="00161176" w:rsidP="00161176">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161176" w:rsidRPr="001D7012" w:rsidRDefault="00161176" w:rsidP="00161176">
      <w:pPr>
        <w:pStyle w:val="Style4"/>
        <w:numPr>
          <w:ilvl w:val="0"/>
          <w:numId w:val="4"/>
        </w:numPr>
        <w:spacing w:line="360" w:lineRule="auto"/>
        <w:ind w:left="0" w:firstLineChars="200" w:firstLine="480"/>
        <w:jc w:val="left"/>
        <w:rPr>
          <w:rFonts w:asciiTheme="minorEastAsia" w:hAnsiTheme="minorEastAsia" w:cs="宋体"/>
          <w:sz w:val="24"/>
          <w:szCs w:val="24"/>
        </w:rPr>
      </w:pPr>
      <w:bookmarkStart w:id="0" w:name="_Toc256000005"/>
      <w:r w:rsidRPr="001D7012">
        <w:rPr>
          <w:rFonts w:asciiTheme="minorEastAsia" w:hAnsiTheme="minorEastAsia" w:cs="宋体" w:hint="eastAsia"/>
          <w:sz w:val="24"/>
          <w:szCs w:val="24"/>
        </w:rPr>
        <w:t>投标人应在中华人民共和国注册并具备独立法人资格，且有能力承担本项目的制造商。</w:t>
      </w:r>
      <w:bookmarkStart w:id="1" w:name="_Toc256000006"/>
      <w:bookmarkEnd w:id="0"/>
    </w:p>
    <w:p w:rsidR="00161176" w:rsidRPr="001D7012" w:rsidRDefault="00161176" w:rsidP="00161176">
      <w:pPr>
        <w:pStyle w:val="Style4"/>
        <w:numPr>
          <w:ilvl w:val="0"/>
          <w:numId w:val="4"/>
        </w:numPr>
        <w:spacing w:line="360" w:lineRule="auto"/>
        <w:ind w:left="0" w:firstLineChars="200" w:firstLine="480"/>
        <w:jc w:val="left"/>
        <w:rPr>
          <w:rFonts w:asciiTheme="minorEastAsia" w:hAnsiTheme="minorEastAsia" w:cs="宋体"/>
          <w:sz w:val="24"/>
          <w:szCs w:val="24"/>
        </w:rPr>
      </w:pPr>
      <w:r w:rsidRPr="001D7012">
        <w:rPr>
          <w:rFonts w:asciiTheme="minorEastAsia" w:hAnsiTheme="minorEastAsia" w:cs="宋体" w:hint="eastAsia"/>
          <w:sz w:val="24"/>
          <w:szCs w:val="24"/>
        </w:rPr>
        <w:t>投标人须有并提供有效的质量、环境、职业健康安全管理体系认证证书。</w:t>
      </w:r>
    </w:p>
    <w:p w:rsidR="00161176" w:rsidRPr="001D7012" w:rsidRDefault="00161176" w:rsidP="00161176">
      <w:pPr>
        <w:pStyle w:val="Style4"/>
        <w:numPr>
          <w:ilvl w:val="0"/>
          <w:numId w:val="4"/>
        </w:numPr>
        <w:spacing w:line="360" w:lineRule="auto"/>
        <w:ind w:left="0" w:firstLineChars="200" w:firstLine="480"/>
        <w:jc w:val="left"/>
        <w:rPr>
          <w:rFonts w:asciiTheme="minorEastAsia" w:hAnsiTheme="minorEastAsia" w:cs="宋体"/>
          <w:sz w:val="24"/>
          <w:szCs w:val="24"/>
        </w:rPr>
      </w:pPr>
      <w:r w:rsidRPr="001D7012">
        <w:rPr>
          <w:rFonts w:asciiTheme="minorEastAsia" w:hAnsiTheme="minorEastAsia" w:cs="宋体" w:hint="eastAsia"/>
          <w:sz w:val="24"/>
          <w:szCs w:val="24"/>
        </w:rPr>
        <w:t>类似产品项目业绩：投标人近两年的相关产品业绩表</w:t>
      </w:r>
    </w:p>
    <w:p w:rsidR="00161176" w:rsidRPr="001D7012" w:rsidRDefault="00161176" w:rsidP="00161176">
      <w:pPr>
        <w:pStyle w:val="Style4"/>
        <w:numPr>
          <w:ilvl w:val="0"/>
          <w:numId w:val="4"/>
        </w:numPr>
        <w:spacing w:line="360" w:lineRule="auto"/>
        <w:ind w:left="0" w:firstLineChars="200" w:firstLine="480"/>
        <w:jc w:val="left"/>
        <w:rPr>
          <w:rFonts w:asciiTheme="minorEastAsia" w:hAnsiTheme="minorEastAsia" w:cs="宋体"/>
          <w:sz w:val="24"/>
          <w:szCs w:val="24"/>
        </w:rPr>
      </w:pPr>
      <w:r w:rsidRPr="001D7012">
        <w:rPr>
          <w:rFonts w:asciiTheme="minorEastAsia" w:hAnsiTheme="minorEastAsia" w:cs="宋体" w:hint="eastAsia"/>
          <w:sz w:val="24"/>
          <w:szCs w:val="24"/>
        </w:rPr>
        <w:t>企业注册资本金要求：不低于（</w:t>
      </w:r>
      <w:r w:rsidRPr="001D7012">
        <w:rPr>
          <w:rFonts w:asciiTheme="minorEastAsia" w:hAnsiTheme="minorEastAsia" w:cs="宋体"/>
          <w:sz w:val="24"/>
          <w:szCs w:val="24"/>
        </w:rPr>
        <w:t>1000</w:t>
      </w:r>
      <w:r w:rsidRPr="001D7012">
        <w:rPr>
          <w:rFonts w:asciiTheme="minorEastAsia" w:hAnsiTheme="minorEastAsia" w:cs="宋体" w:hint="eastAsia"/>
          <w:sz w:val="24"/>
          <w:szCs w:val="24"/>
        </w:rPr>
        <w:t>万）元整，本案压力容器设计及制造的资质不得低于</w:t>
      </w:r>
      <w:r w:rsidRPr="001D7012">
        <w:rPr>
          <w:rFonts w:asciiTheme="minorEastAsia" w:hAnsiTheme="minorEastAsia" w:cs="宋体"/>
          <w:sz w:val="24"/>
          <w:szCs w:val="24"/>
        </w:rPr>
        <w:t>D</w:t>
      </w:r>
      <w:r w:rsidRPr="001D7012">
        <w:rPr>
          <w:rFonts w:asciiTheme="minorEastAsia" w:hAnsiTheme="minorEastAsia" w:cs="宋体" w:hint="eastAsia"/>
          <w:sz w:val="24"/>
          <w:szCs w:val="24"/>
        </w:rPr>
        <w:t>级。</w:t>
      </w:r>
    </w:p>
    <w:p w:rsidR="00161176" w:rsidRPr="001D7012" w:rsidRDefault="00161176" w:rsidP="00161176">
      <w:pPr>
        <w:pStyle w:val="Style4"/>
        <w:numPr>
          <w:ilvl w:val="0"/>
          <w:numId w:val="4"/>
        </w:numPr>
        <w:spacing w:line="360" w:lineRule="auto"/>
        <w:ind w:left="0" w:firstLineChars="200" w:firstLine="480"/>
        <w:jc w:val="left"/>
        <w:rPr>
          <w:rFonts w:asciiTheme="minorEastAsia" w:hAnsiTheme="minorEastAsia" w:cs="宋体"/>
          <w:sz w:val="24"/>
          <w:szCs w:val="24"/>
        </w:rPr>
      </w:pPr>
      <w:bookmarkStart w:id="2" w:name="_Toc256000010"/>
      <w:bookmarkEnd w:id="1"/>
      <w:r w:rsidRPr="001D7012">
        <w:rPr>
          <w:rFonts w:asciiTheme="minorEastAsia" w:hAnsiTheme="minorEastAsia" w:cs="宋体" w:hint="eastAsia"/>
          <w:sz w:val="24"/>
          <w:szCs w:val="24"/>
        </w:rPr>
        <w:t>投标人（不含分支机构）被列为失信主体或投标人法人代表被列为失信被执行人，不得参加投标</w:t>
      </w:r>
      <w:bookmarkEnd w:id="2"/>
      <w:r w:rsidRPr="001D7012">
        <w:rPr>
          <w:rFonts w:asciiTheme="minorEastAsia" w:hAnsiTheme="minorEastAsia" w:cs="宋体" w:hint="eastAsia"/>
          <w:sz w:val="24"/>
          <w:szCs w:val="24"/>
        </w:rPr>
        <w:t>。</w:t>
      </w:r>
    </w:p>
    <w:p w:rsidR="00161176" w:rsidRPr="001D7012" w:rsidRDefault="00161176" w:rsidP="00161176">
      <w:pPr>
        <w:pStyle w:val="Style4"/>
        <w:numPr>
          <w:ilvl w:val="0"/>
          <w:numId w:val="4"/>
        </w:numPr>
        <w:spacing w:line="360" w:lineRule="auto"/>
        <w:ind w:left="0" w:firstLineChars="200" w:firstLine="480"/>
        <w:jc w:val="left"/>
        <w:rPr>
          <w:rFonts w:asciiTheme="minorEastAsia" w:hAnsiTheme="minorEastAsia" w:cs="宋体"/>
          <w:sz w:val="24"/>
          <w:szCs w:val="24"/>
        </w:rPr>
      </w:pPr>
      <w:r w:rsidRPr="001D7012">
        <w:rPr>
          <w:rFonts w:asciiTheme="minorEastAsia" w:hAnsiTheme="minorEastAsia" w:cs="宋体"/>
          <w:sz w:val="24"/>
          <w:szCs w:val="24"/>
        </w:rPr>
        <w:t xml:space="preserve"> </w:t>
      </w:r>
      <w:bookmarkStart w:id="3" w:name="_Toc256000011"/>
      <w:r w:rsidRPr="001D7012">
        <w:rPr>
          <w:rFonts w:asciiTheme="minorEastAsia" w:hAnsiTheme="minorEastAsia" w:cs="宋体" w:hint="eastAsia"/>
          <w:sz w:val="24"/>
          <w:szCs w:val="24"/>
        </w:rPr>
        <w:t>其他资格要求</w:t>
      </w:r>
      <w:bookmarkEnd w:id="3"/>
      <w:r w:rsidRPr="001D7012">
        <w:rPr>
          <w:rFonts w:asciiTheme="minorEastAsia" w:hAnsiTheme="minorEastAsia" w:cs="宋体" w:hint="eastAsia"/>
          <w:sz w:val="24"/>
          <w:szCs w:val="24"/>
        </w:rPr>
        <w:t>。</w:t>
      </w:r>
      <w:r w:rsidRPr="001D7012">
        <w:rPr>
          <w:rFonts w:asciiTheme="minorEastAsia" w:hAnsiTheme="minorEastAsia" w:cs="宋体" w:hint="eastAsia"/>
          <w:spacing w:val="-3"/>
          <w:sz w:val="24"/>
          <w:szCs w:val="24"/>
        </w:rPr>
        <w:t>投标人不得存在下列情形之一</w:t>
      </w:r>
      <w:r w:rsidRPr="001D7012">
        <w:rPr>
          <w:rFonts w:asciiTheme="minorEastAsia" w:hAnsiTheme="minorEastAsia" w:cs="宋体" w:hint="eastAsia"/>
          <w:spacing w:val="-18"/>
          <w:sz w:val="24"/>
          <w:szCs w:val="24"/>
        </w:rPr>
        <w:t>：</w:t>
      </w:r>
    </w:p>
    <w:p w:rsidR="00161176" w:rsidRPr="001D7012" w:rsidRDefault="00161176" w:rsidP="00161176">
      <w:pPr>
        <w:pStyle w:val="Style1"/>
        <w:numPr>
          <w:ilvl w:val="0"/>
          <w:numId w:val="5"/>
        </w:numPr>
        <w:spacing w:line="360" w:lineRule="auto"/>
        <w:ind w:left="0" w:firstLineChars="200" w:firstLine="468"/>
        <w:jc w:val="left"/>
        <w:rPr>
          <w:rFonts w:asciiTheme="minorEastAsia" w:hAnsiTheme="minorEastAsia" w:cs="宋体"/>
          <w:spacing w:val="-3"/>
          <w:sz w:val="24"/>
          <w:szCs w:val="24"/>
        </w:rPr>
      </w:pPr>
      <w:r w:rsidRPr="001D7012">
        <w:rPr>
          <w:rFonts w:asciiTheme="minorEastAsia" w:hAnsiTheme="minorEastAsia" w:cs="宋体" w:hint="eastAsia"/>
          <w:spacing w:val="-3"/>
          <w:sz w:val="24"/>
          <w:szCs w:val="24"/>
        </w:rPr>
        <w:t>被依法暂停或者取消投标资格；</w:t>
      </w:r>
    </w:p>
    <w:p w:rsidR="00161176" w:rsidRPr="001D7012" w:rsidRDefault="00161176" w:rsidP="00161176">
      <w:pPr>
        <w:pStyle w:val="Style1"/>
        <w:numPr>
          <w:ilvl w:val="0"/>
          <w:numId w:val="5"/>
        </w:numPr>
        <w:spacing w:line="360" w:lineRule="auto"/>
        <w:ind w:left="0" w:firstLineChars="200" w:firstLine="468"/>
        <w:jc w:val="left"/>
        <w:rPr>
          <w:rFonts w:asciiTheme="minorEastAsia" w:hAnsiTheme="minorEastAsia" w:cs="宋体"/>
          <w:spacing w:val="-3"/>
          <w:sz w:val="24"/>
          <w:szCs w:val="24"/>
        </w:rPr>
      </w:pPr>
      <w:r w:rsidRPr="001D7012">
        <w:rPr>
          <w:rFonts w:asciiTheme="minorEastAsia" w:hAnsiTheme="minorEastAsia" w:cs="宋体" w:hint="eastAsia"/>
          <w:spacing w:val="-3"/>
          <w:sz w:val="24"/>
          <w:szCs w:val="24"/>
        </w:rPr>
        <w:t>被责令停产停业、暂扣或者吊销许可证、暂扣或者吊销执照；</w:t>
      </w:r>
    </w:p>
    <w:p w:rsidR="00161176" w:rsidRPr="001D7012" w:rsidRDefault="00161176" w:rsidP="00161176">
      <w:pPr>
        <w:pStyle w:val="Style1"/>
        <w:numPr>
          <w:ilvl w:val="0"/>
          <w:numId w:val="5"/>
        </w:numPr>
        <w:spacing w:line="360" w:lineRule="auto"/>
        <w:ind w:left="0" w:firstLineChars="200" w:firstLine="468"/>
        <w:jc w:val="left"/>
        <w:rPr>
          <w:rFonts w:asciiTheme="minorEastAsia" w:hAnsiTheme="minorEastAsia" w:cs="宋体"/>
          <w:spacing w:val="-3"/>
          <w:sz w:val="24"/>
          <w:szCs w:val="24"/>
        </w:rPr>
      </w:pPr>
      <w:r w:rsidRPr="001D7012">
        <w:rPr>
          <w:rFonts w:asciiTheme="minorEastAsia" w:hAnsiTheme="minorEastAsia" w:cs="宋体" w:hint="eastAsia"/>
          <w:spacing w:val="-3"/>
          <w:sz w:val="24"/>
          <w:szCs w:val="24"/>
        </w:rPr>
        <w:t>进入清算程序，或被宣告破产，或其他丧失履约能力的情形；</w:t>
      </w:r>
    </w:p>
    <w:p w:rsidR="00161176" w:rsidRPr="001D7012" w:rsidRDefault="00161176" w:rsidP="00161176">
      <w:pPr>
        <w:pStyle w:val="Style1"/>
        <w:numPr>
          <w:ilvl w:val="0"/>
          <w:numId w:val="5"/>
        </w:numPr>
        <w:spacing w:line="360" w:lineRule="auto"/>
        <w:ind w:left="0" w:firstLineChars="200" w:firstLine="468"/>
        <w:jc w:val="left"/>
        <w:rPr>
          <w:rFonts w:asciiTheme="minorEastAsia" w:hAnsiTheme="minorEastAsia" w:cs="宋体"/>
          <w:spacing w:val="-3"/>
          <w:sz w:val="24"/>
          <w:szCs w:val="24"/>
        </w:rPr>
      </w:pPr>
      <w:r w:rsidRPr="001D7012">
        <w:rPr>
          <w:rFonts w:asciiTheme="minorEastAsia" w:hAnsiTheme="minorEastAsia" w:cs="宋体" w:hint="eastAsia"/>
          <w:spacing w:val="-3"/>
          <w:sz w:val="24"/>
          <w:szCs w:val="24"/>
        </w:rPr>
        <w:t>被市场监督管理机关在全国企业信用信息公示系统中列入严重违法失信企业名单；</w:t>
      </w:r>
    </w:p>
    <w:p w:rsidR="00161176" w:rsidRPr="001D7012" w:rsidRDefault="00161176" w:rsidP="00161176">
      <w:pPr>
        <w:pStyle w:val="Style1"/>
        <w:numPr>
          <w:ilvl w:val="0"/>
          <w:numId w:val="5"/>
        </w:numPr>
        <w:spacing w:line="360" w:lineRule="auto"/>
        <w:ind w:left="0" w:firstLineChars="200" w:firstLine="468"/>
        <w:jc w:val="left"/>
        <w:rPr>
          <w:rFonts w:asciiTheme="minorEastAsia" w:hAnsiTheme="minorEastAsia" w:cs="宋体"/>
          <w:spacing w:val="-3"/>
          <w:sz w:val="24"/>
          <w:szCs w:val="24"/>
        </w:rPr>
      </w:pPr>
      <w:r w:rsidRPr="001D7012">
        <w:rPr>
          <w:rFonts w:asciiTheme="minorEastAsia" w:hAnsiTheme="minorEastAsia" w:cs="宋体" w:hint="eastAsia"/>
          <w:spacing w:val="-3"/>
          <w:sz w:val="24"/>
          <w:szCs w:val="24"/>
        </w:rPr>
        <w:t>被最高人民法院在“信用中国”网站（</w:t>
      </w:r>
      <w:r w:rsidRPr="001D7012">
        <w:rPr>
          <w:rFonts w:asciiTheme="minorEastAsia" w:hAnsiTheme="minorEastAsia"/>
          <w:sz w:val="24"/>
          <w:szCs w:val="24"/>
        </w:rPr>
        <w:fldChar w:fldCharType="begin"/>
      </w:r>
      <w:r w:rsidRPr="001D7012">
        <w:rPr>
          <w:rFonts w:asciiTheme="minorEastAsia" w:hAnsiTheme="minorEastAsia"/>
          <w:sz w:val="24"/>
          <w:szCs w:val="24"/>
        </w:rPr>
        <w:instrText xml:space="preserve"> HYPERLINK "http://www.creditchina.gov.cn/" \h </w:instrText>
      </w:r>
      <w:r w:rsidRPr="001D7012">
        <w:rPr>
          <w:rFonts w:asciiTheme="minorEastAsia" w:hAnsiTheme="minorEastAsia"/>
          <w:sz w:val="24"/>
          <w:szCs w:val="24"/>
        </w:rPr>
        <w:fldChar w:fldCharType="separate"/>
      </w:r>
      <w:r w:rsidRPr="001D7012">
        <w:rPr>
          <w:rFonts w:asciiTheme="minorEastAsia" w:hAnsiTheme="minorEastAsia" w:cs="宋体" w:hint="eastAsia"/>
          <w:spacing w:val="-3"/>
          <w:sz w:val="24"/>
          <w:szCs w:val="24"/>
        </w:rPr>
        <w:t>www.creditchina.gov.cn</w:t>
      </w:r>
      <w:r w:rsidRPr="001D7012">
        <w:rPr>
          <w:rFonts w:asciiTheme="minorEastAsia" w:hAnsiTheme="minorEastAsia" w:cs="宋体"/>
          <w:spacing w:val="-3"/>
          <w:sz w:val="24"/>
          <w:szCs w:val="24"/>
        </w:rPr>
        <w:fldChar w:fldCharType="end"/>
      </w:r>
      <w:r w:rsidRPr="001D7012">
        <w:rPr>
          <w:rFonts w:asciiTheme="minorEastAsia" w:hAnsiTheme="minorEastAsia" w:cs="宋体" w:hint="eastAsia"/>
          <w:spacing w:val="-3"/>
          <w:sz w:val="24"/>
          <w:szCs w:val="24"/>
        </w:rPr>
        <w:t>）或各级信用信息共享平台中列入失信被执行人名单；</w:t>
      </w:r>
    </w:p>
    <w:p w:rsidR="00161176" w:rsidRPr="001D7012" w:rsidRDefault="00161176" w:rsidP="00161176">
      <w:pPr>
        <w:pStyle w:val="Style1"/>
        <w:numPr>
          <w:ilvl w:val="0"/>
          <w:numId w:val="5"/>
        </w:numPr>
        <w:spacing w:line="360" w:lineRule="auto"/>
        <w:ind w:left="0" w:firstLineChars="200" w:firstLine="468"/>
        <w:jc w:val="left"/>
        <w:rPr>
          <w:rFonts w:asciiTheme="minorEastAsia" w:hAnsiTheme="minorEastAsia" w:cs="宋体"/>
          <w:spacing w:val="-3"/>
          <w:sz w:val="24"/>
          <w:szCs w:val="24"/>
        </w:rPr>
      </w:pPr>
      <w:r w:rsidRPr="001D7012">
        <w:rPr>
          <w:rFonts w:asciiTheme="minorEastAsia" w:hAnsiTheme="minorEastAsia" w:hint="eastAsia"/>
          <w:spacing w:val="-3"/>
          <w:sz w:val="24"/>
          <w:szCs w:val="24"/>
        </w:rPr>
        <w:t>投标人与招标人有诉讼纠纷的。</w:t>
      </w:r>
    </w:p>
    <w:p w:rsidR="00161176" w:rsidRPr="001A592B" w:rsidRDefault="00161176" w:rsidP="00161176">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161176" w:rsidRPr="000F619F" w:rsidRDefault="00161176" w:rsidP="00161176">
      <w:pPr>
        <w:pStyle w:val="a3"/>
        <w:numPr>
          <w:ilvl w:val="2"/>
          <w:numId w:val="6"/>
        </w:numPr>
        <w:snapToGrid w:val="0"/>
        <w:spacing w:before="0" w:line="360" w:lineRule="auto"/>
        <w:ind w:left="0" w:firstLineChars="200" w:firstLine="480"/>
        <w:rPr>
          <w:spacing w:val="8"/>
          <w:sz w:val="24"/>
          <w:szCs w:val="24"/>
          <w:lang w:eastAsia="zh-CN"/>
        </w:rPr>
      </w:pPr>
      <w:r w:rsidRPr="000F619F">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4</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2</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28</w:t>
      </w:r>
      <w:r w:rsidRPr="000F619F">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4</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03</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8</w:t>
      </w:r>
      <w:r w:rsidRPr="000F619F">
        <w:rPr>
          <w:rFonts w:asciiTheme="minorEastAsia" w:eastAsiaTheme="minorEastAsia" w:hAnsiTheme="minorEastAsia" w:hint="eastAsia"/>
          <w:bCs/>
          <w:sz w:val="24"/>
          <w:szCs w:val="24"/>
          <w:lang w:eastAsia="zh-CN"/>
        </w:rPr>
        <w:t>日</w:t>
      </w:r>
      <w:r w:rsidRPr="000F619F">
        <w:rPr>
          <w:rFonts w:hint="eastAsia"/>
          <w:spacing w:val="8"/>
          <w:sz w:val="24"/>
          <w:szCs w:val="24"/>
          <w:lang w:eastAsia="zh-CN"/>
        </w:rPr>
        <w:t>（上午9:00～12:00，下午14:00～17:00，周六、日除外），在福建福海创石油化工有限公司改扩建项目部（办公地址：漳州市古雷经济开发区疏港大道南</w:t>
      </w:r>
      <w:r w:rsidRPr="000F619F">
        <w:rPr>
          <w:spacing w:val="8"/>
          <w:sz w:val="24"/>
          <w:szCs w:val="24"/>
          <w:lang w:eastAsia="zh-CN"/>
        </w:rPr>
        <w:t xml:space="preserve">102号 </w:t>
      </w:r>
      <w:proofErr w:type="gramStart"/>
      <w:r w:rsidRPr="000F619F">
        <w:rPr>
          <w:spacing w:val="8"/>
          <w:sz w:val="24"/>
          <w:szCs w:val="24"/>
          <w:lang w:eastAsia="zh-CN"/>
        </w:rPr>
        <w:t>福海创改扩建</w:t>
      </w:r>
      <w:proofErr w:type="gramEnd"/>
      <w:r w:rsidRPr="000F619F">
        <w:rPr>
          <w:spacing w:val="8"/>
          <w:sz w:val="24"/>
          <w:szCs w:val="24"/>
          <w:lang w:eastAsia="zh-CN"/>
        </w:rPr>
        <w:t>项目组采购管理部129室</w:t>
      </w:r>
      <w:r w:rsidRPr="000F619F">
        <w:rPr>
          <w:rFonts w:hint="eastAsia"/>
          <w:spacing w:val="8"/>
          <w:sz w:val="24"/>
          <w:szCs w:val="24"/>
          <w:lang w:eastAsia="zh-CN"/>
        </w:rPr>
        <w:t>）现场或</w:t>
      </w:r>
      <w:r>
        <w:rPr>
          <w:rFonts w:hint="eastAsia"/>
          <w:spacing w:val="8"/>
          <w:sz w:val="24"/>
          <w:szCs w:val="24"/>
          <w:lang w:eastAsia="zh-CN"/>
        </w:rPr>
        <w:t>网站报名（见公告左下链接）或邮件报名（邮箱g</w:t>
      </w:r>
      <w:r>
        <w:rPr>
          <w:spacing w:val="8"/>
          <w:sz w:val="24"/>
          <w:szCs w:val="24"/>
          <w:lang w:eastAsia="zh-CN"/>
        </w:rPr>
        <w:t>yzhong@fhcpec.com.cn</w:t>
      </w:r>
      <w:r>
        <w:rPr>
          <w:rFonts w:hint="eastAsia"/>
          <w:spacing w:val="8"/>
          <w:sz w:val="24"/>
          <w:szCs w:val="24"/>
          <w:lang w:eastAsia="zh-CN"/>
        </w:rPr>
        <w:t>）</w:t>
      </w:r>
      <w:r w:rsidRPr="000F619F">
        <w:rPr>
          <w:rFonts w:asciiTheme="minorEastAsia" w:eastAsiaTheme="minorEastAsia" w:hAnsiTheme="minorEastAsia" w:hint="eastAsia"/>
          <w:bCs/>
          <w:sz w:val="24"/>
          <w:szCs w:val="24"/>
          <w:lang w:eastAsia="zh-CN"/>
        </w:rPr>
        <w:t>，</w:t>
      </w:r>
      <w:r w:rsidRPr="000F619F">
        <w:rPr>
          <w:rFonts w:hint="eastAsia"/>
          <w:spacing w:val="8"/>
          <w:sz w:val="24"/>
          <w:szCs w:val="24"/>
          <w:lang w:eastAsia="zh-CN"/>
        </w:rPr>
        <w:t>报名时需递交以下文件：</w:t>
      </w:r>
    </w:p>
    <w:p w:rsidR="00161176" w:rsidRDefault="00161176" w:rsidP="00161176">
      <w:pPr>
        <w:pStyle w:val="a3"/>
        <w:numPr>
          <w:ilvl w:val="0"/>
          <w:numId w:val="7"/>
        </w:numPr>
        <w:snapToGrid w:val="0"/>
        <w:spacing w:before="0" w:line="360" w:lineRule="auto"/>
        <w:ind w:left="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161176" w:rsidRPr="00B91618" w:rsidRDefault="00161176" w:rsidP="00161176">
      <w:pPr>
        <w:pStyle w:val="a3"/>
        <w:numPr>
          <w:ilvl w:val="0"/>
          <w:numId w:val="7"/>
        </w:numPr>
        <w:snapToGrid w:val="0"/>
        <w:spacing w:before="0" w:line="360" w:lineRule="auto"/>
        <w:ind w:left="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161176" w:rsidRPr="00AA1133" w:rsidRDefault="00161176" w:rsidP="00161176">
      <w:pPr>
        <w:pStyle w:val="a3"/>
        <w:numPr>
          <w:ilvl w:val="2"/>
          <w:numId w:val="6"/>
        </w:numPr>
        <w:autoSpaceDE/>
        <w:autoSpaceDN/>
        <w:snapToGrid w:val="0"/>
        <w:spacing w:before="0" w:line="360" w:lineRule="auto"/>
        <w:ind w:left="0" w:firstLineChars="200" w:firstLine="512"/>
        <w:rPr>
          <w:rFonts w:asciiTheme="minorEastAsia" w:eastAsiaTheme="minorEastAsia" w:hAnsiTheme="minorEastAsia"/>
          <w:bCs/>
          <w:sz w:val="24"/>
          <w:szCs w:val="24"/>
          <w:lang w:eastAsia="zh-CN"/>
        </w:rPr>
      </w:pPr>
      <w:r>
        <w:rPr>
          <w:spacing w:val="8"/>
          <w:sz w:val="24"/>
          <w:szCs w:val="24"/>
          <w:lang w:eastAsia="zh-CN"/>
        </w:rPr>
        <w:t>报名完成后，参选文件将发送至参选人授权邮箱。</w:t>
      </w:r>
    </w:p>
    <w:p w:rsidR="00161176" w:rsidRPr="00B91618" w:rsidRDefault="00161176" w:rsidP="00161176">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161176" w:rsidRPr="001F534F" w:rsidRDefault="00161176" w:rsidP="00161176">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壹万捌仟元整</w:t>
      </w:r>
      <w:r w:rsidRPr="001F534F">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18</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161176" w:rsidRPr="0031234C" w:rsidRDefault="00161176" w:rsidP="00161176">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161176" w:rsidRPr="0031234C" w:rsidRDefault="00161176" w:rsidP="00161176">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161176" w:rsidRPr="0031234C" w:rsidRDefault="00161176" w:rsidP="00161176">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参选保证金指定账户：</w:t>
      </w:r>
    </w:p>
    <w:p w:rsidR="00161176" w:rsidRPr="0031234C" w:rsidRDefault="00161176" w:rsidP="00161176">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161176" w:rsidRPr="0031234C" w:rsidRDefault="00161176" w:rsidP="00161176">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161176" w:rsidRPr="0031234C" w:rsidRDefault="00161176" w:rsidP="00161176">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161176" w:rsidRPr="00736B2E" w:rsidRDefault="00161176" w:rsidP="00161176">
      <w:pPr>
        <w:adjustRightInd w:val="0"/>
        <w:snapToGrid w:val="0"/>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E20B08">
        <w:rPr>
          <w:rFonts w:asciiTheme="minorEastAsia" w:eastAsiaTheme="minorEastAsia" w:hAnsiTheme="minorEastAsia" w:hint="eastAsia"/>
          <w:bCs/>
          <w:sz w:val="24"/>
          <w:szCs w:val="24"/>
          <w:lang w:eastAsia="zh-CN"/>
        </w:rPr>
        <w:t>微热再生吸附式干燥机请购</w:t>
      </w:r>
    </w:p>
    <w:p w:rsidR="00161176" w:rsidRPr="0031234C" w:rsidRDefault="00161176" w:rsidP="00161176">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161176" w:rsidRPr="0031234C" w:rsidRDefault="00161176" w:rsidP="00161176">
      <w:pPr>
        <w:pStyle w:val="a3"/>
        <w:adjustRightInd w:val="0"/>
        <w:snapToGrid w:val="0"/>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161176" w:rsidRPr="006C3511" w:rsidRDefault="00161176" w:rsidP="00161176">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参选保证金的退回</w:t>
      </w:r>
    </w:p>
    <w:p w:rsidR="00161176" w:rsidRPr="0031234C" w:rsidRDefault="00161176" w:rsidP="00161176">
      <w:pPr>
        <w:adjustRightInd w:val="0"/>
        <w:snapToGrid w:val="0"/>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161176" w:rsidRPr="006C3511" w:rsidRDefault="00161176" w:rsidP="00161176">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履约保证金</w:t>
      </w:r>
    </w:p>
    <w:p w:rsidR="00161176" w:rsidRPr="0031234C" w:rsidRDefault="00161176" w:rsidP="00161176">
      <w:pPr>
        <w:pStyle w:val="a4"/>
        <w:snapToGrid w:val="0"/>
        <w:spacing w:line="360" w:lineRule="auto"/>
        <w:ind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161176" w:rsidRPr="001A592B" w:rsidRDefault="00161176" w:rsidP="00161176">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161176" w:rsidRPr="001A592B" w:rsidRDefault="00161176" w:rsidP="00161176">
      <w:pPr>
        <w:pStyle w:val="a3"/>
        <w:numPr>
          <w:ilvl w:val="0"/>
          <w:numId w:val="3"/>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161176" w:rsidRDefault="00161176" w:rsidP="00161176">
      <w:pPr>
        <w:pStyle w:val="a3"/>
        <w:numPr>
          <w:ilvl w:val="0"/>
          <w:numId w:val="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4</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03</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日</w:t>
      </w:r>
      <w:r w:rsidRPr="009C587D">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161176" w:rsidRPr="009C587D" w:rsidRDefault="00161176" w:rsidP="00161176">
      <w:pPr>
        <w:pStyle w:val="a3"/>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161176" w:rsidRPr="001A592B" w:rsidRDefault="00161176" w:rsidP="00161176">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161176" w:rsidRPr="001A592B" w:rsidRDefault="00161176" w:rsidP="00161176">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161176" w:rsidRPr="001A592B" w:rsidRDefault="00161176" w:rsidP="00161176">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161176" w:rsidRDefault="00161176" w:rsidP="00161176">
      <w:pPr>
        <w:pStyle w:val="a4"/>
        <w:snapToGrid w:val="0"/>
        <w:spacing w:line="360" w:lineRule="auto"/>
        <w:ind w:firstLineChars="200" w:firstLine="480"/>
        <w:jc w:val="left"/>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161176" w:rsidRDefault="00161176" w:rsidP="00161176">
      <w:pPr>
        <w:pStyle w:val="a4"/>
        <w:snapToGrid w:val="0"/>
        <w:spacing w:line="360" w:lineRule="auto"/>
        <w:ind w:firstLineChars="200" w:firstLine="480"/>
        <w:jc w:val="left"/>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161176" w:rsidRDefault="00161176" w:rsidP="00161176">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161176" w:rsidRDefault="00161176" w:rsidP="00161176">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024.2.28</w:t>
      </w:r>
    </w:p>
    <w:p w:rsidR="008B0E5B" w:rsidRDefault="008B0E5B">
      <w:bookmarkStart w:id="4" w:name="_GoBack"/>
      <w:bookmarkEnd w:id="4"/>
    </w:p>
    <w:sectPr w:rsidR="008B0E5B" w:rsidSect="00161176">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BA364FC6"/>
    <w:lvl w:ilvl="0" w:tplc="83829A8E">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2700524"/>
    <w:multiLevelType w:val="hybridMultilevel"/>
    <w:tmpl w:val="6AD8739C"/>
    <w:lvl w:ilvl="0" w:tplc="15FCA1D8">
      <w:start w:val="1"/>
      <w:numFmt w:val="decimal"/>
      <w:suff w:val="space"/>
      <w:lvlText w:val="%1."/>
      <w:lvlJc w:val="left"/>
      <w:pPr>
        <w:ind w:left="894" w:hanging="420"/>
      </w:pPr>
      <w:rPr>
        <w:rFonts w:hint="eastAsia"/>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2">
    <w:nsid w:val="14860CE5"/>
    <w:multiLevelType w:val="hybridMultilevel"/>
    <w:tmpl w:val="3006CDBA"/>
    <w:lvl w:ilvl="0" w:tplc="F0A467F2">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25185334"/>
    <w:multiLevelType w:val="hybridMultilevel"/>
    <w:tmpl w:val="D5768926"/>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3716CA78">
      <w:start w:val="1"/>
      <w:numFmt w:val="chineseCountingThousand"/>
      <w:suff w:val="space"/>
      <w:lvlText w:val="(%3)"/>
      <w:lvlJc w:val="left"/>
      <w:pPr>
        <w:ind w:left="832" w:hanging="420"/>
      </w:pPr>
      <w:rPr>
        <w:rFonts w:hint="default"/>
        <w:color w:val="auto"/>
      </w:r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4">
    <w:nsid w:val="4971497A"/>
    <w:multiLevelType w:val="hybridMultilevel"/>
    <w:tmpl w:val="1DF23ACC"/>
    <w:lvl w:ilvl="0" w:tplc="0409000F">
      <w:start w:val="1"/>
      <w:numFmt w:val="decimal"/>
      <w:lvlText w:val="%1."/>
      <w:lvlJc w:val="left"/>
      <w:pPr>
        <w:ind w:left="894" w:hanging="420"/>
      </w:p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5">
    <w:nsid w:val="58B01401"/>
    <w:multiLevelType w:val="hybridMultilevel"/>
    <w:tmpl w:val="ABF43ED0"/>
    <w:lvl w:ilvl="0" w:tplc="076E68AA">
      <w:start w:val="1"/>
      <w:numFmt w:val="chineseCountingThousand"/>
      <w:suff w:val="space"/>
      <w:lvlText w:val="(%1)"/>
      <w:lvlJc w:val="left"/>
      <w:pPr>
        <w:ind w:left="832"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0350D40"/>
    <w:multiLevelType w:val="hybridMultilevel"/>
    <w:tmpl w:val="A8FA2D92"/>
    <w:lvl w:ilvl="0" w:tplc="B7EA1438">
      <w:start w:val="1"/>
      <w:numFmt w:val="chineseCountingThousand"/>
      <w:suff w:val="space"/>
      <w:lvlText w:val="%1、"/>
      <w:lvlJc w:val="left"/>
      <w:pPr>
        <w:ind w:left="832" w:hanging="420"/>
      </w:pPr>
      <w:rPr>
        <w:rFonts w:hint="default"/>
        <w:lang w:val="en-US"/>
      </w:rPr>
    </w:lvl>
    <w:lvl w:ilvl="1" w:tplc="7CDA4D52">
      <w:start w:val="1"/>
      <w:numFmt w:val="chineseCountingThousand"/>
      <w:suff w:val="space"/>
      <w:lvlText w:val="(%2)"/>
      <w:lvlJc w:val="left"/>
      <w:pPr>
        <w:ind w:left="772" w:hanging="360"/>
      </w:pPr>
      <w:rPr>
        <w:rFonts w:hint="default"/>
        <w:color w:val="auto"/>
      </w:rPr>
    </w:lvl>
    <w:lvl w:ilvl="2" w:tplc="7E8AD3AC">
      <w:start w:val="1"/>
      <w:numFmt w:val="decimal"/>
      <w:lvlText w:val="%3."/>
      <w:lvlJc w:val="left"/>
      <w:pPr>
        <w:ind w:left="1612" w:hanging="360"/>
      </w:pPr>
      <w:rPr>
        <w:rFonts w:asciiTheme="minorEastAsia" w:eastAsiaTheme="minorEastAsia" w:hAnsiTheme="minorEastAsia" w:hint="default"/>
      </w:r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76"/>
    <w:rsid w:val="00161176"/>
    <w:rsid w:val="008B0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DFE6B-7BC1-42B9-A859-DBA73971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61176"/>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161176"/>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161176"/>
    <w:pPr>
      <w:spacing w:before="206"/>
      <w:ind w:left="959" w:hanging="361"/>
    </w:pPr>
  </w:style>
  <w:style w:type="character" w:customStyle="1" w:styleId="Char">
    <w:name w:val="正文缩进 Char"/>
    <w:link w:val="a4"/>
    <w:qFormat/>
    <w:rsid w:val="00161176"/>
  </w:style>
  <w:style w:type="paragraph" w:styleId="a4">
    <w:name w:val="Normal Indent"/>
    <w:basedOn w:val="a"/>
    <w:link w:val="Char"/>
    <w:qFormat/>
    <w:rsid w:val="00161176"/>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161176"/>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161176"/>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1696</Characters>
  <Application>Microsoft Office Word</Application>
  <DocSecurity>0</DocSecurity>
  <Lines>14</Lines>
  <Paragraphs>3</Paragraphs>
  <ScaleCrop>false</ScaleCrop>
  <Company>fhcpec.com.cn</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2024-02-27T09:11:00Z</dcterms:created>
  <dcterms:modified xsi:type="dcterms:W3CDTF">2024-02-27T09:11:00Z</dcterms:modified>
</cp:coreProperties>
</file>