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3E0" w:rsidRPr="00F46FAA" w:rsidRDefault="007F33E0" w:rsidP="007F33E0">
      <w:pPr>
        <w:spacing w:line="788" w:lineRule="exact"/>
        <w:ind w:left="167"/>
        <w:jc w:val="center"/>
        <w:rPr>
          <w:b/>
          <w:bCs/>
          <w:sz w:val="36"/>
          <w:lang w:eastAsia="zh-CN"/>
        </w:rPr>
      </w:pPr>
      <w:r w:rsidRPr="00D51FFA">
        <w:rPr>
          <w:rFonts w:hint="eastAsia"/>
          <w:b/>
          <w:bCs/>
          <w:sz w:val="36"/>
          <w:lang w:eastAsia="zh-CN"/>
        </w:rPr>
        <w:t>福建福海创石油化工有限公司</w:t>
      </w:r>
      <w:r w:rsidRPr="006B4732">
        <w:rPr>
          <w:rFonts w:hint="eastAsia"/>
          <w:b/>
          <w:bCs/>
          <w:sz w:val="36"/>
          <w:lang w:eastAsia="zh-CN"/>
        </w:rPr>
        <w:t>原料适应性技改项目</w:t>
      </w:r>
      <w:r w:rsidRPr="00480367">
        <w:rPr>
          <w:rFonts w:hint="eastAsia"/>
          <w:b/>
          <w:bCs/>
          <w:sz w:val="36"/>
          <w:lang w:eastAsia="zh-CN"/>
        </w:rPr>
        <w:t>工业己烷优化项目瓷球及鸟巢支撑剂采购</w:t>
      </w:r>
      <w:r>
        <w:rPr>
          <w:rFonts w:hint="eastAsia"/>
          <w:b/>
          <w:bCs/>
          <w:sz w:val="36"/>
          <w:lang w:eastAsia="zh-CN"/>
        </w:rPr>
        <w:t>公开比选</w:t>
      </w:r>
      <w:r w:rsidRPr="00F46FAA">
        <w:rPr>
          <w:rFonts w:hint="eastAsia"/>
          <w:b/>
          <w:bCs/>
          <w:sz w:val="36"/>
          <w:lang w:eastAsia="zh-CN"/>
        </w:rPr>
        <w:t>公告</w:t>
      </w:r>
    </w:p>
    <w:p w:rsidR="007F33E0" w:rsidRPr="0095010C" w:rsidRDefault="007F33E0" w:rsidP="007F33E0">
      <w:pPr>
        <w:spacing w:line="360" w:lineRule="auto"/>
        <w:ind w:right="315"/>
        <w:jc w:val="right"/>
        <w:rPr>
          <w:bCs/>
          <w:szCs w:val="21"/>
          <w:lang w:eastAsia="zh-CN"/>
        </w:rPr>
      </w:pPr>
      <w:r w:rsidRPr="002B08DF">
        <w:rPr>
          <w:rFonts w:hint="eastAsia"/>
          <w:bCs/>
          <w:szCs w:val="21"/>
          <w:lang w:eastAsia="zh-CN"/>
        </w:rPr>
        <w:t>比选编号：</w:t>
      </w:r>
      <w:r w:rsidRPr="001B6538">
        <w:rPr>
          <w:bCs/>
          <w:szCs w:val="21"/>
          <w:lang w:eastAsia="zh-CN"/>
        </w:rPr>
        <w:t>FAP1-P-GKBX-202310-003</w:t>
      </w:r>
    </w:p>
    <w:p w:rsidR="007F33E0" w:rsidRPr="004B2CF4" w:rsidRDefault="007F33E0" w:rsidP="007F33E0">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w:t>
      </w:r>
      <w:r w:rsidRPr="005E5D40">
        <w:rPr>
          <w:rFonts w:asciiTheme="minorEastAsia" w:eastAsiaTheme="minorEastAsia" w:hAnsiTheme="minorEastAsia" w:hint="eastAsia"/>
          <w:bCs/>
          <w:sz w:val="24"/>
          <w:szCs w:val="24"/>
          <w:lang w:eastAsia="zh-CN"/>
        </w:rPr>
        <w:t>工业己烷优化项目瓷球及鸟巢支撑剂采购</w:t>
      </w:r>
      <w:r w:rsidRPr="004B2CF4">
        <w:rPr>
          <w:rFonts w:asciiTheme="minorEastAsia" w:eastAsiaTheme="minorEastAsia" w:hAnsiTheme="minorEastAsia" w:hint="eastAsia"/>
          <w:bCs/>
          <w:sz w:val="24"/>
          <w:szCs w:val="24"/>
          <w:lang w:eastAsia="zh-CN"/>
        </w:rPr>
        <w:t>（项目编号：</w:t>
      </w:r>
      <w:r w:rsidRPr="001B6538">
        <w:rPr>
          <w:bCs/>
          <w:szCs w:val="21"/>
          <w:lang w:eastAsia="zh-CN"/>
        </w:rPr>
        <w:t>FAP1-P-GKBX-202310-003</w:t>
      </w:r>
      <w:r w:rsidRPr="004B2CF4">
        <w:rPr>
          <w:rFonts w:asciiTheme="minorEastAsia" w:eastAsiaTheme="minorEastAsia" w:hAnsiTheme="minorEastAsia" w:hint="eastAsia"/>
          <w:bCs/>
          <w:sz w:val="24"/>
          <w:szCs w:val="24"/>
          <w:lang w:eastAsia="zh-CN"/>
        </w:rPr>
        <w:t>）”进行国内公开比选，欢迎国内符合条件的供应商积极参选。</w:t>
      </w:r>
    </w:p>
    <w:p w:rsidR="007F33E0" w:rsidRPr="001A592B" w:rsidRDefault="007F33E0" w:rsidP="007F33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7F33E0" w:rsidRPr="00747836" w:rsidRDefault="007F33E0" w:rsidP="007F33E0">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5E5D40">
        <w:rPr>
          <w:rFonts w:asciiTheme="minorEastAsia" w:eastAsiaTheme="minorEastAsia" w:hAnsiTheme="minorEastAsia" w:hint="eastAsia"/>
          <w:bCs/>
          <w:sz w:val="24"/>
          <w:szCs w:val="24"/>
          <w:lang w:eastAsia="zh-CN"/>
        </w:rPr>
        <w:t>工业己烷优化项目瓷球及鸟巢支撑剂采购</w:t>
      </w:r>
      <w:r w:rsidRPr="00747836">
        <w:rPr>
          <w:rFonts w:asciiTheme="minorEastAsia" w:eastAsiaTheme="minorEastAsia" w:hAnsiTheme="minorEastAsia" w:hint="eastAsia"/>
          <w:bCs/>
          <w:sz w:val="24"/>
          <w:szCs w:val="24"/>
          <w:lang w:eastAsia="zh-CN"/>
        </w:rPr>
        <w:t>；</w:t>
      </w:r>
    </w:p>
    <w:p w:rsidR="007F33E0" w:rsidRDefault="007F33E0" w:rsidP="007F33E0">
      <w:pPr>
        <w:pStyle w:val="a3"/>
        <w:numPr>
          <w:ilvl w:val="0"/>
          <w:numId w:val="2"/>
        </w:numPr>
        <w:autoSpaceDE/>
        <w:autoSpaceDN/>
        <w:spacing w:before="0" w:line="360" w:lineRule="auto"/>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p>
    <w:p w:rsidR="007F33E0" w:rsidRDefault="007F33E0" w:rsidP="007F33E0">
      <w:pPr>
        <w:pStyle w:val="a3"/>
        <w:autoSpaceDE/>
        <w:autoSpaceDN/>
        <w:spacing w:before="0" w:line="360" w:lineRule="auto"/>
        <w:ind w:left="772" w:firstLine="0"/>
        <w:rPr>
          <w:rFonts w:asciiTheme="minorEastAsia" w:eastAsiaTheme="minorEastAsia" w:hAnsiTheme="minorEastAsia"/>
          <w:bCs/>
          <w:sz w:val="24"/>
          <w:szCs w:val="24"/>
          <w:lang w:eastAsia="zh-CN"/>
        </w:rPr>
      </w:pPr>
      <w:r w:rsidRPr="009E2E99">
        <w:rPr>
          <w:rFonts w:asciiTheme="minorEastAsia" w:eastAsiaTheme="minorEastAsia" w:hAnsiTheme="minorEastAsia" w:hint="eastAsia"/>
          <w:bCs/>
          <w:sz w:val="24"/>
          <w:szCs w:val="24"/>
          <w:lang w:eastAsia="zh-CN"/>
        </w:rPr>
        <w:t>φ</w:t>
      </w:r>
      <w:r w:rsidRPr="009E2E99">
        <w:rPr>
          <w:rFonts w:asciiTheme="minorEastAsia" w:eastAsiaTheme="minorEastAsia" w:hAnsiTheme="minorEastAsia"/>
          <w:bCs/>
          <w:sz w:val="24"/>
          <w:szCs w:val="24"/>
          <w:lang w:eastAsia="zh-CN"/>
        </w:rPr>
        <w:t>3瓷球</w:t>
      </w:r>
      <w:r>
        <w:rPr>
          <w:rFonts w:asciiTheme="minorEastAsia" w:eastAsiaTheme="minorEastAsia" w:hAnsiTheme="minorEastAsia" w:hint="eastAsia"/>
          <w:bCs/>
          <w:sz w:val="24"/>
          <w:szCs w:val="24"/>
          <w:lang w:eastAsia="zh-CN"/>
        </w:rPr>
        <w:t xml:space="preserve"> </w:t>
      </w:r>
      <w:r w:rsidRPr="009E2E99">
        <w:rPr>
          <w:rFonts w:asciiTheme="minorEastAsia" w:eastAsiaTheme="minorEastAsia" w:hAnsiTheme="minorEastAsia"/>
          <w:bCs/>
          <w:sz w:val="24"/>
          <w:szCs w:val="24"/>
          <w:lang w:eastAsia="zh-CN"/>
        </w:rPr>
        <w:t>3.0±1.0mm，Al2O3含量≥70wt%，强度≥300N/颗</w:t>
      </w: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bCs/>
          <w:sz w:val="24"/>
          <w:szCs w:val="24"/>
          <w:lang w:eastAsia="zh-CN"/>
        </w:rPr>
        <w:t>2.5吨；</w:t>
      </w:r>
    </w:p>
    <w:p w:rsidR="007F33E0" w:rsidRDefault="007F33E0" w:rsidP="007F33E0">
      <w:pPr>
        <w:pStyle w:val="a3"/>
        <w:autoSpaceDE/>
        <w:autoSpaceDN/>
        <w:spacing w:before="0" w:line="360" w:lineRule="auto"/>
        <w:ind w:left="772" w:firstLine="0"/>
        <w:rPr>
          <w:rFonts w:asciiTheme="minorEastAsia" w:eastAsiaTheme="minorEastAsia" w:hAnsiTheme="minorEastAsia"/>
          <w:bCs/>
          <w:sz w:val="24"/>
          <w:szCs w:val="24"/>
          <w:lang w:eastAsia="zh-CN"/>
        </w:rPr>
      </w:pPr>
      <w:r w:rsidRPr="009E2E99">
        <w:rPr>
          <w:rFonts w:asciiTheme="minorEastAsia" w:eastAsiaTheme="minorEastAsia" w:hAnsiTheme="minorEastAsia" w:hint="eastAsia"/>
          <w:bCs/>
          <w:sz w:val="24"/>
          <w:szCs w:val="24"/>
          <w:lang w:eastAsia="zh-CN"/>
        </w:rPr>
        <w:t>φ</w:t>
      </w:r>
      <w:r w:rsidRPr="009E2E99">
        <w:rPr>
          <w:rFonts w:asciiTheme="minorEastAsia" w:eastAsiaTheme="minorEastAsia" w:hAnsiTheme="minorEastAsia"/>
          <w:bCs/>
          <w:sz w:val="24"/>
          <w:szCs w:val="24"/>
          <w:lang w:eastAsia="zh-CN"/>
        </w:rPr>
        <w:t>13瓷球</w:t>
      </w:r>
      <w:r>
        <w:rPr>
          <w:rFonts w:asciiTheme="minorEastAsia" w:eastAsiaTheme="minorEastAsia" w:hAnsiTheme="minorEastAsia" w:hint="eastAsia"/>
          <w:bCs/>
          <w:sz w:val="24"/>
          <w:szCs w:val="24"/>
          <w:lang w:eastAsia="zh-CN"/>
        </w:rPr>
        <w:t xml:space="preserve"> </w:t>
      </w:r>
      <w:r w:rsidRPr="009E2E99">
        <w:rPr>
          <w:rFonts w:asciiTheme="minorEastAsia" w:eastAsiaTheme="minorEastAsia" w:hAnsiTheme="minorEastAsia"/>
          <w:bCs/>
          <w:sz w:val="24"/>
          <w:szCs w:val="24"/>
          <w:lang w:eastAsia="zh-CN"/>
        </w:rPr>
        <w:t>13.0±1.5mm，Al2O3含量≥70wt%，强度≥1000N/颗</w:t>
      </w: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bCs/>
          <w:sz w:val="24"/>
          <w:szCs w:val="24"/>
          <w:lang w:eastAsia="zh-CN"/>
        </w:rPr>
        <w:t>1吨；</w:t>
      </w:r>
    </w:p>
    <w:p w:rsidR="007F33E0" w:rsidRDefault="007F33E0" w:rsidP="007F33E0">
      <w:pPr>
        <w:pStyle w:val="a3"/>
        <w:autoSpaceDE/>
        <w:autoSpaceDN/>
        <w:spacing w:before="0" w:line="360" w:lineRule="auto"/>
        <w:ind w:left="772" w:firstLine="0"/>
        <w:rPr>
          <w:rFonts w:asciiTheme="minorEastAsia" w:eastAsiaTheme="minorEastAsia" w:hAnsiTheme="minorEastAsia"/>
          <w:bCs/>
          <w:sz w:val="24"/>
          <w:szCs w:val="24"/>
          <w:lang w:eastAsia="zh-CN"/>
        </w:rPr>
      </w:pPr>
      <w:r w:rsidRPr="009E2E99">
        <w:rPr>
          <w:rFonts w:asciiTheme="minorEastAsia" w:eastAsiaTheme="minorEastAsia" w:hAnsiTheme="minorEastAsia" w:hint="eastAsia"/>
          <w:bCs/>
          <w:sz w:val="24"/>
          <w:szCs w:val="24"/>
          <w:lang w:eastAsia="zh-CN"/>
        </w:rPr>
        <w:t>鸟巢支撑剂</w:t>
      </w:r>
      <w:r>
        <w:rPr>
          <w:rFonts w:asciiTheme="minorEastAsia" w:eastAsiaTheme="minorEastAsia" w:hAnsiTheme="minorEastAsia" w:hint="eastAsia"/>
          <w:bCs/>
          <w:sz w:val="24"/>
          <w:szCs w:val="24"/>
          <w:lang w:eastAsia="zh-CN"/>
        </w:rPr>
        <w:t xml:space="preserve"> </w:t>
      </w:r>
      <w:r w:rsidRPr="009E2E99">
        <w:rPr>
          <w:rFonts w:asciiTheme="minorEastAsia" w:eastAsiaTheme="minorEastAsia" w:hAnsiTheme="minorEastAsia"/>
          <w:bCs/>
          <w:sz w:val="24"/>
          <w:szCs w:val="24"/>
          <w:lang w:eastAsia="zh-CN"/>
        </w:rPr>
        <w:t>13.0±2.0mm,Al2O3含量≥90wt%，强度≥600N/颗</w:t>
      </w: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bCs/>
          <w:sz w:val="24"/>
          <w:szCs w:val="24"/>
          <w:lang w:eastAsia="zh-CN"/>
        </w:rPr>
        <w:t xml:space="preserve"> 2.5吨；</w:t>
      </w:r>
    </w:p>
    <w:p w:rsidR="007F33E0" w:rsidRPr="00FD73CE" w:rsidRDefault="007F33E0" w:rsidP="007F33E0">
      <w:pPr>
        <w:pStyle w:val="a3"/>
        <w:autoSpaceDE/>
        <w:autoSpaceDN/>
        <w:spacing w:before="0" w:line="360" w:lineRule="auto"/>
        <w:ind w:left="772" w:firstLine="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 xml:space="preserve"> </w:t>
      </w:r>
      <w:r w:rsidRPr="009E2E99">
        <w:rPr>
          <w:rFonts w:asciiTheme="minorEastAsia" w:eastAsiaTheme="minorEastAsia" w:hAnsiTheme="minorEastAsia" w:hint="eastAsia"/>
          <w:bCs/>
          <w:sz w:val="24"/>
          <w:szCs w:val="24"/>
          <w:lang w:eastAsia="zh-CN"/>
        </w:rPr>
        <w:t>φ</w:t>
      </w:r>
      <w:r w:rsidRPr="009E2E99">
        <w:rPr>
          <w:rFonts w:asciiTheme="minorEastAsia" w:eastAsiaTheme="minorEastAsia" w:hAnsiTheme="minorEastAsia"/>
          <w:bCs/>
          <w:sz w:val="24"/>
          <w:szCs w:val="24"/>
          <w:lang w:eastAsia="zh-CN"/>
        </w:rPr>
        <w:t>6瓷球</w:t>
      </w:r>
      <w:r>
        <w:rPr>
          <w:rFonts w:asciiTheme="minorEastAsia" w:eastAsiaTheme="minorEastAsia" w:hAnsiTheme="minorEastAsia" w:hint="eastAsia"/>
          <w:bCs/>
          <w:sz w:val="24"/>
          <w:szCs w:val="24"/>
          <w:lang w:eastAsia="zh-CN"/>
        </w:rPr>
        <w:t xml:space="preserve"> </w:t>
      </w:r>
      <w:r w:rsidRPr="009E2E99">
        <w:rPr>
          <w:rFonts w:asciiTheme="minorEastAsia" w:eastAsiaTheme="minorEastAsia" w:hAnsiTheme="minorEastAsia"/>
          <w:bCs/>
          <w:sz w:val="24"/>
          <w:szCs w:val="24"/>
          <w:lang w:eastAsia="zh-CN"/>
        </w:rPr>
        <w:t>6.0±1.0mm，Al2O3含量≥70wt%，强度≥400N/颗</w:t>
      </w: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bCs/>
          <w:sz w:val="24"/>
          <w:szCs w:val="24"/>
          <w:lang w:eastAsia="zh-CN"/>
        </w:rPr>
        <w:t>1.6吨。</w:t>
      </w:r>
    </w:p>
    <w:p w:rsidR="007F33E0" w:rsidRDefault="007F33E0" w:rsidP="007F33E0">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7F33E0" w:rsidRPr="00747836" w:rsidRDefault="007F33E0" w:rsidP="007F33E0">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rsidR="007F33E0" w:rsidRDefault="007F33E0" w:rsidP="007F33E0">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7F33E0" w:rsidRPr="006A333C" w:rsidRDefault="007F33E0" w:rsidP="007F33E0">
      <w:pPr>
        <w:pStyle w:val="a3"/>
        <w:numPr>
          <w:ilvl w:val="0"/>
          <w:numId w:val="2"/>
        </w:numPr>
        <w:adjustRightInd w:val="0"/>
        <w:spacing w:before="0" w:line="360" w:lineRule="auto"/>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Pr>
          <w:rFonts w:asciiTheme="minorEastAsia" w:eastAsiaTheme="minorEastAsia" w:hAnsiTheme="minorEastAsia"/>
          <w:bCs/>
          <w:sz w:val="24"/>
          <w:szCs w:val="24"/>
          <w:lang w:eastAsia="zh-CN"/>
        </w:rPr>
        <w:t>110,000.00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7F33E0" w:rsidRDefault="007F33E0" w:rsidP="007F33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7F33E0" w:rsidRDefault="007F33E0" w:rsidP="007F33E0">
      <w:pPr>
        <w:pStyle w:val="Style4"/>
        <w:numPr>
          <w:ilvl w:val="0"/>
          <w:numId w:val="4"/>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7F33E0" w:rsidRDefault="007F33E0" w:rsidP="007F33E0">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7F33E0" w:rsidRDefault="007F33E0" w:rsidP="007F33E0">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w:t>
      </w:r>
      <w:r>
        <w:rPr>
          <w:rFonts w:ascii="宋体" w:eastAsia="宋体" w:hAnsi="宋体" w:cs="宋体"/>
          <w:sz w:val="24"/>
          <w:szCs w:val="24"/>
        </w:rPr>
        <w:t>需有</w:t>
      </w:r>
      <w:r w:rsidRPr="009B0BE7">
        <w:rPr>
          <w:rFonts w:ascii="宋体" w:eastAsia="宋体" w:hAnsi="宋体" w:cs="宋体"/>
          <w:sz w:val="24"/>
          <w:szCs w:val="24"/>
        </w:rPr>
        <w:t>中石化、中石油、中海油或</w:t>
      </w:r>
      <w:r>
        <w:rPr>
          <w:rFonts w:ascii="宋体" w:eastAsia="宋体" w:hAnsi="宋体" w:cs="宋体"/>
          <w:sz w:val="24"/>
          <w:szCs w:val="24"/>
        </w:rPr>
        <w:t>福建</w:t>
      </w:r>
      <w:r w:rsidRPr="009B0BE7">
        <w:rPr>
          <w:rFonts w:ascii="宋体" w:eastAsia="宋体" w:hAnsi="宋体" w:cs="宋体"/>
          <w:sz w:val="24"/>
          <w:szCs w:val="24"/>
        </w:rPr>
        <w:t>能化集团</w:t>
      </w:r>
      <w:r>
        <w:rPr>
          <w:rFonts w:ascii="宋体" w:eastAsia="宋体" w:hAnsi="宋体" w:cs="宋体" w:hint="eastAsia"/>
          <w:sz w:val="24"/>
          <w:szCs w:val="24"/>
        </w:rPr>
        <w:t>供货</w:t>
      </w:r>
      <w:r>
        <w:rPr>
          <w:rFonts w:ascii="宋体" w:eastAsia="宋体" w:hAnsi="宋体" w:cs="宋体"/>
          <w:sz w:val="24"/>
          <w:szCs w:val="24"/>
        </w:rPr>
        <w:t>业绩</w:t>
      </w:r>
      <w:r>
        <w:rPr>
          <w:rFonts w:ascii="宋体" w:eastAsia="宋体" w:hAnsi="宋体" w:cs="宋体" w:hint="eastAsia"/>
          <w:sz w:val="24"/>
          <w:szCs w:val="24"/>
        </w:rPr>
        <w:t>。</w:t>
      </w:r>
    </w:p>
    <w:p w:rsidR="007F33E0" w:rsidRDefault="007F33E0" w:rsidP="007F33E0">
      <w:pPr>
        <w:pStyle w:val="Style4"/>
        <w:numPr>
          <w:ilvl w:val="0"/>
          <w:numId w:val="4"/>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w:t>
      </w:r>
      <w:r w:rsidRPr="006A333C">
        <w:rPr>
          <w:rFonts w:ascii="宋体" w:eastAsia="宋体" w:hAnsi="宋体" w:cs="宋体" w:hint="eastAsia"/>
          <w:sz w:val="24"/>
          <w:szCs w:val="24"/>
        </w:rPr>
        <w:lastRenderedPageBreak/>
        <w:t>信被执行人，不得参加投标</w:t>
      </w:r>
      <w:bookmarkEnd w:id="2"/>
      <w:r w:rsidRPr="006A333C">
        <w:rPr>
          <w:rFonts w:ascii="宋体" w:eastAsia="宋体" w:hAnsi="宋体" w:cs="宋体" w:hint="eastAsia"/>
          <w:sz w:val="24"/>
          <w:szCs w:val="24"/>
        </w:rPr>
        <w:t>。</w:t>
      </w:r>
    </w:p>
    <w:p w:rsidR="007F33E0" w:rsidRPr="006A333C" w:rsidRDefault="007F33E0" w:rsidP="007F33E0">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7F33E0" w:rsidRDefault="007F33E0" w:rsidP="007F33E0">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7F33E0" w:rsidRDefault="007F33E0" w:rsidP="007F33E0">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7F33E0" w:rsidRDefault="007F33E0" w:rsidP="007F33E0">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7F33E0" w:rsidRDefault="007F33E0" w:rsidP="007F33E0">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rsidR="007F33E0" w:rsidRDefault="007F33E0" w:rsidP="007F33E0">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）或各级信用信息共享平台中列入失信被执行人名单；</w:t>
      </w:r>
    </w:p>
    <w:p w:rsidR="007F33E0" w:rsidRPr="006A333C" w:rsidRDefault="007F33E0" w:rsidP="007F33E0">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7F33E0" w:rsidRPr="001A592B" w:rsidRDefault="007F33E0" w:rsidP="007F33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7F33E0" w:rsidRPr="000F619F" w:rsidRDefault="007F33E0" w:rsidP="007F33E0">
      <w:pPr>
        <w:pStyle w:val="a3"/>
        <w:numPr>
          <w:ilvl w:val="2"/>
          <w:numId w:val="6"/>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01</w:t>
      </w:r>
      <w:r w:rsidRPr="000F619F">
        <w:rPr>
          <w:rFonts w:asciiTheme="minorEastAsia" w:eastAsiaTheme="minorEastAsia" w:hAnsiTheme="minorEastAsia" w:hint="eastAsia"/>
          <w:bCs/>
          <w:sz w:val="24"/>
          <w:szCs w:val="24"/>
          <w:lang w:eastAsia="zh-CN"/>
        </w:rPr>
        <w:t>日至202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09</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7F33E0" w:rsidRDefault="007F33E0" w:rsidP="007F33E0">
      <w:pPr>
        <w:pStyle w:val="a3"/>
        <w:numPr>
          <w:ilvl w:val="0"/>
          <w:numId w:val="7"/>
        </w:numPr>
        <w:snapToGrid w:val="0"/>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7F33E0" w:rsidRPr="00B91618" w:rsidRDefault="007F33E0" w:rsidP="007F33E0">
      <w:pPr>
        <w:pStyle w:val="a3"/>
        <w:numPr>
          <w:ilvl w:val="0"/>
          <w:numId w:val="7"/>
        </w:numPr>
        <w:snapToGrid w:val="0"/>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7F33E0" w:rsidRPr="00AA1133" w:rsidRDefault="007F33E0" w:rsidP="007F33E0">
      <w:pPr>
        <w:pStyle w:val="a3"/>
        <w:numPr>
          <w:ilvl w:val="2"/>
          <w:numId w:val="6"/>
        </w:numPr>
        <w:autoSpaceDE/>
        <w:autoSpaceDN/>
        <w:snapToGrid w:val="0"/>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7F33E0" w:rsidRPr="00B91618" w:rsidRDefault="007F33E0" w:rsidP="007F33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7F33E0" w:rsidRPr="001F534F" w:rsidRDefault="007F33E0" w:rsidP="007F33E0">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2</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7F33E0" w:rsidRPr="0031234C" w:rsidRDefault="007F33E0" w:rsidP="007F33E0">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7F33E0" w:rsidRPr="0031234C" w:rsidRDefault="007F33E0" w:rsidP="007F33E0">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7F33E0" w:rsidRPr="0031234C" w:rsidRDefault="007F33E0" w:rsidP="007F33E0">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7F33E0" w:rsidRPr="0031234C" w:rsidRDefault="007F33E0" w:rsidP="007F33E0">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7F33E0" w:rsidRPr="0031234C" w:rsidRDefault="007F33E0" w:rsidP="007F33E0">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7F33E0" w:rsidRPr="0031234C" w:rsidRDefault="007F33E0" w:rsidP="007F33E0">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7F33E0" w:rsidRPr="00736B2E" w:rsidRDefault="007F33E0" w:rsidP="007F33E0">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瓷球</w:t>
      </w:r>
      <w:r w:rsidRPr="0005561C">
        <w:rPr>
          <w:rFonts w:asciiTheme="minorEastAsia" w:eastAsiaTheme="minorEastAsia" w:hAnsiTheme="minorEastAsia"/>
          <w:bCs/>
          <w:sz w:val="24"/>
          <w:szCs w:val="24"/>
          <w:lang w:eastAsia="zh-CN"/>
        </w:rPr>
        <w:t>采购</w:t>
      </w:r>
    </w:p>
    <w:p w:rsidR="007F33E0" w:rsidRPr="0031234C" w:rsidRDefault="007F33E0" w:rsidP="007F33E0">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7F33E0" w:rsidRPr="0031234C" w:rsidRDefault="007F33E0" w:rsidP="007F33E0">
      <w:pPr>
        <w:pStyle w:val="a3"/>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7F33E0" w:rsidRPr="006C3511" w:rsidRDefault="007F33E0" w:rsidP="007F33E0">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7F33E0" w:rsidRPr="0031234C" w:rsidRDefault="007F33E0" w:rsidP="007F33E0">
      <w:pPr>
        <w:adjustRightInd w:val="0"/>
        <w:snapToGrid w:val="0"/>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7F33E0" w:rsidRPr="006C3511" w:rsidRDefault="007F33E0" w:rsidP="007F33E0">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7F33E0" w:rsidRPr="0031234C" w:rsidRDefault="007F33E0" w:rsidP="007F33E0">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7F33E0" w:rsidRPr="001A592B" w:rsidRDefault="007F33E0" w:rsidP="007F33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7F33E0" w:rsidRPr="001A592B" w:rsidRDefault="007F33E0" w:rsidP="007F33E0">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7F33E0" w:rsidRDefault="007F33E0" w:rsidP="007F33E0">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7F33E0" w:rsidRPr="009C587D" w:rsidRDefault="007F33E0" w:rsidP="007F33E0">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7F33E0" w:rsidRPr="001A592B" w:rsidRDefault="007F33E0" w:rsidP="007F33E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7F33E0" w:rsidRPr="001A592B" w:rsidRDefault="007F33E0" w:rsidP="007F33E0">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7F33E0" w:rsidRPr="001A592B" w:rsidRDefault="007F33E0" w:rsidP="007F33E0">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7F33E0" w:rsidRDefault="007F33E0" w:rsidP="007F33E0">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7F33E0" w:rsidRDefault="007F33E0" w:rsidP="007F33E0">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7F33E0" w:rsidRDefault="007F33E0" w:rsidP="007F33E0">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7F33E0" w:rsidRDefault="007F33E0" w:rsidP="007F33E0">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023.11.01</w:t>
      </w:r>
    </w:p>
    <w:p w:rsidR="00991EF5" w:rsidRDefault="00991EF5">
      <w:bookmarkStart w:id="4" w:name="_GoBack"/>
      <w:bookmarkEnd w:id="4"/>
    </w:p>
    <w:sectPr w:rsidR="00991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5">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E0"/>
    <w:rsid w:val="007F33E0"/>
    <w:rsid w:val="0099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5C54B-E2C8-4596-BB0B-FFAD31A0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F33E0"/>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7F33E0"/>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7F33E0"/>
    <w:pPr>
      <w:spacing w:before="206"/>
      <w:ind w:left="959" w:hanging="361"/>
    </w:pPr>
  </w:style>
  <w:style w:type="character" w:customStyle="1" w:styleId="Char">
    <w:name w:val="正文缩进 Char"/>
    <w:link w:val="a4"/>
    <w:qFormat/>
    <w:rsid w:val="007F33E0"/>
  </w:style>
  <w:style w:type="paragraph" w:styleId="a4">
    <w:name w:val="Normal Indent"/>
    <w:basedOn w:val="a"/>
    <w:link w:val="Char"/>
    <w:qFormat/>
    <w:rsid w:val="007F33E0"/>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7F33E0"/>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7F33E0"/>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1560</Characters>
  <Application>Microsoft Office Word</Application>
  <DocSecurity>0</DocSecurity>
  <Lines>13</Lines>
  <Paragraphs>3</Paragraphs>
  <ScaleCrop>false</ScaleCrop>
  <Company>fhcpec.com.cn</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2023-11-01T07:28:00Z</dcterms:created>
  <dcterms:modified xsi:type="dcterms:W3CDTF">2023-11-01T07:29:00Z</dcterms:modified>
</cp:coreProperties>
</file>