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eastAsia="仿宋_GB2312"/>
          <w:b/>
          <w:bCs/>
          <w:sz w:val="32"/>
          <w:szCs w:val="30"/>
        </w:rPr>
      </w:pPr>
      <w:r>
        <w:rPr>
          <w:rFonts w:hint="eastAsia" w:ascii="仿宋_GB2312" w:eastAsia="仿宋_GB2312"/>
          <w:b/>
          <w:bCs/>
          <w:sz w:val="32"/>
          <w:szCs w:val="30"/>
          <w:lang w:val="en-US" w:eastAsia="zh-CN"/>
        </w:rPr>
        <w:t>附件一、</w:t>
      </w:r>
      <w:bookmarkStart w:id="2" w:name="_GoBack"/>
      <w:bookmarkEnd w:id="2"/>
      <w:r>
        <w:rPr>
          <w:rFonts w:hint="eastAsia" w:ascii="仿宋_GB2312" w:eastAsia="仿宋_GB2312"/>
          <w:b/>
          <w:bCs/>
          <w:sz w:val="32"/>
          <w:szCs w:val="30"/>
        </w:rPr>
        <w:t>福建福海创石油化工有限公司</w:t>
      </w:r>
    </w:p>
    <w:p>
      <w:pPr>
        <w:spacing w:line="360" w:lineRule="auto"/>
        <w:jc w:val="center"/>
        <w:rPr>
          <w:rFonts w:ascii="仿宋_GB2312" w:eastAsia="仿宋_GB2312"/>
          <w:b/>
          <w:bCs/>
          <w:sz w:val="32"/>
          <w:szCs w:val="30"/>
        </w:rPr>
      </w:pPr>
      <w:r>
        <w:rPr>
          <w:rFonts w:hint="eastAsia" w:ascii="仿宋_GB2312" w:eastAsia="仿宋_GB2312"/>
          <w:b/>
          <w:bCs/>
          <w:sz w:val="32"/>
          <w:szCs w:val="30"/>
        </w:rPr>
        <w:t>芳烃联合装置优化节能项目</w:t>
      </w:r>
    </w:p>
    <w:p>
      <w:pPr>
        <w:spacing w:line="360" w:lineRule="auto"/>
        <w:jc w:val="center"/>
        <w:rPr>
          <w:rFonts w:ascii="仿宋_GB2312" w:eastAsia="仿宋_GB2312"/>
          <w:b/>
          <w:bCs/>
          <w:sz w:val="32"/>
          <w:szCs w:val="30"/>
        </w:rPr>
      </w:pPr>
      <w:r>
        <w:rPr>
          <w:rFonts w:hint="eastAsia" w:ascii="仿宋_GB2312" w:eastAsia="仿宋_GB2312"/>
          <w:b/>
          <w:bCs/>
          <w:sz w:val="32"/>
          <w:szCs w:val="30"/>
        </w:rPr>
        <w:t>职业病危害预评价报告书编制</w:t>
      </w:r>
    </w:p>
    <w:p>
      <w:pPr>
        <w:spacing w:line="360" w:lineRule="auto"/>
        <w:jc w:val="center"/>
        <w:rPr>
          <w:rFonts w:ascii="仿宋_GB2312" w:eastAsia="仿宋_GB2312"/>
          <w:b/>
          <w:bCs/>
          <w:sz w:val="32"/>
          <w:szCs w:val="30"/>
        </w:rPr>
      </w:pPr>
      <w:r>
        <w:rPr>
          <w:rFonts w:hint="eastAsia" w:ascii="仿宋_GB2312" w:eastAsia="仿宋_GB2312"/>
          <w:b/>
          <w:bCs/>
          <w:sz w:val="32"/>
          <w:szCs w:val="30"/>
        </w:rPr>
        <w:t>及原料适应性技改项目四合一炉节能改造项目</w:t>
      </w:r>
    </w:p>
    <w:p>
      <w:pPr>
        <w:spacing w:line="360" w:lineRule="auto"/>
        <w:jc w:val="center"/>
        <w:rPr>
          <w:rFonts w:ascii="仿宋_GB2312" w:eastAsia="仿宋_GB2312"/>
          <w:b/>
          <w:bCs/>
          <w:sz w:val="32"/>
          <w:szCs w:val="30"/>
        </w:rPr>
      </w:pPr>
      <w:r>
        <w:rPr>
          <w:rFonts w:ascii="仿宋_GB2312" w:eastAsia="仿宋_GB2312"/>
          <w:b/>
          <w:bCs/>
          <w:sz w:val="32"/>
          <w:szCs w:val="30"/>
        </w:rPr>
        <w:t>职业病防护设施设计专篇编制</w:t>
      </w:r>
      <w:r>
        <w:rPr>
          <w:rFonts w:hint="eastAsia" w:ascii="仿宋_GB2312" w:eastAsia="仿宋_GB2312"/>
          <w:b/>
          <w:bCs/>
          <w:sz w:val="32"/>
          <w:szCs w:val="30"/>
        </w:rPr>
        <w:t>发包说明</w:t>
      </w:r>
    </w:p>
    <w:p>
      <w:pPr>
        <w:numPr>
          <w:ilvl w:val="0"/>
          <w:numId w:val="1"/>
        </w:numPr>
        <w:spacing w:line="360" w:lineRule="auto"/>
        <w:ind w:left="964" w:hanging="964" w:hangingChars="343"/>
        <w:rPr>
          <w:rFonts w:ascii="仿宋_GB2312" w:eastAsia="仿宋_GB2312"/>
          <w:b/>
          <w:sz w:val="28"/>
          <w:szCs w:val="28"/>
        </w:rPr>
      </w:pPr>
      <w:r>
        <w:rPr>
          <w:rFonts w:hint="eastAsia" w:ascii="仿宋_GB2312" w:eastAsia="仿宋_GB2312"/>
          <w:b/>
          <w:sz w:val="28"/>
          <w:szCs w:val="28"/>
        </w:rPr>
        <w:t>企业简介</w:t>
      </w:r>
    </w:p>
    <w:p>
      <w:pPr>
        <w:autoSpaceDE w:val="0"/>
        <w:autoSpaceDN w:val="0"/>
        <w:adjustRightInd w:val="0"/>
        <w:spacing w:line="360" w:lineRule="auto"/>
        <w:ind w:left="720" w:firstLine="560" w:firstLineChars="200"/>
        <w:jc w:val="left"/>
        <w:rPr>
          <w:rFonts w:ascii="仿宋_GB2312" w:eastAsia="仿宋_GB2312"/>
          <w:sz w:val="28"/>
          <w:szCs w:val="28"/>
        </w:rPr>
      </w:pPr>
      <w:r>
        <w:rPr>
          <w:rFonts w:hint="eastAsia" w:ascii="仿宋_GB2312" w:eastAsia="仿宋_GB2312"/>
          <w:sz w:val="28"/>
          <w:szCs w:val="28"/>
        </w:rPr>
        <w:t>福建福海创石油化工有限公司成立于</w:t>
      </w:r>
      <w:r>
        <w:rPr>
          <w:rFonts w:ascii="仿宋_GB2312" w:eastAsia="仿宋_GB2312"/>
          <w:sz w:val="28"/>
          <w:szCs w:val="28"/>
        </w:rPr>
        <w:t>2017</w:t>
      </w:r>
      <w:r>
        <w:rPr>
          <w:rFonts w:hint="eastAsia" w:ascii="仿宋_GB2312" w:eastAsia="仿宋_GB2312"/>
          <w:sz w:val="28"/>
          <w:szCs w:val="28"/>
        </w:rPr>
        <w:t>年</w:t>
      </w:r>
      <w:r>
        <w:rPr>
          <w:rFonts w:ascii="仿宋_GB2312" w:eastAsia="仿宋_GB2312"/>
          <w:sz w:val="28"/>
          <w:szCs w:val="28"/>
        </w:rPr>
        <w:t>10</w:t>
      </w:r>
      <w:r>
        <w:rPr>
          <w:rFonts w:hint="eastAsia" w:ascii="仿宋_GB2312" w:eastAsia="仿宋_GB2312"/>
          <w:sz w:val="28"/>
          <w:szCs w:val="28"/>
        </w:rPr>
        <w:t>月</w:t>
      </w:r>
      <w:r>
        <w:rPr>
          <w:rFonts w:ascii="仿宋_GB2312" w:eastAsia="仿宋_GB2312"/>
          <w:sz w:val="28"/>
          <w:szCs w:val="28"/>
        </w:rPr>
        <w:t>27</w:t>
      </w:r>
      <w:r>
        <w:rPr>
          <w:rFonts w:hint="eastAsia" w:ascii="仿宋_GB2312" w:eastAsia="仿宋_GB2312"/>
          <w:sz w:val="28"/>
          <w:szCs w:val="28"/>
        </w:rPr>
        <w:t>日，位于福建省漳州古雷港经济开发区，注册资本</w:t>
      </w:r>
      <w:r>
        <w:rPr>
          <w:rFonts w:ascii="仿宋_GB2312" w:eastAsia="仿宋_GB2312"/>
          <w:sz w:val="28"/>
          <w:szCs w:val="28"/>
        </w:rPr>
        <w:t>90</w:t>
      </w:r>
      <w:r>
        <w:rPr>
          <w:rFonts w:hint="eastAsia" w:ascii="仿宋_GB2312" w:eastAsia="仿宋_GB2312"/>
          <w:sz w:val="28"/>
          <w:szCs w:val="28"/>
        </w:rPr>
        <w:t>亿元人民币，占地面积约</w:t>
      </w:r>
      <w:r>
        <w:rPr>
          <w:rFonts w:ascii="仿宋_GB2312" w:eastAsia="仿宋_GB2312"/>
          <w:sz w:val="28"/>
          <w:szCs w:val="28"/>
        </w:rPr>
        <w:t>290</w:t>
      </w:r>
      <w:r>
        <w:rPr>
          <w:rFonts w:hint="eastAsia" w:ascii="仿宋_GB2312" w:eastAsia="仿宋_GB2312"/>
          <w:sz w:val="28"/>
          <w:szCs w:val="28"/>
        </w:rPr>
        <w:t>公顷。公司由福建福化古雷石油化工有限公司（由福建石化集团公司和漳州市九龙江集团公司共同出资设立）与腾龙翔鹭集团（富能控股有限公司、华利财务有限公司、翔鹭石化股份有限公司、</w:t>
      </w:r>
      <w:r>
        <w:rPr>
          <w:rFonts w:ascii="仿宋_GB2312" w:eastAsia="仿宋_GB2312"/>
          <w:sz w:val="28"/>
          <w:szCs w:val="28"/>
        </w:rPr>
        <w:t xml:space="preserve"> </w:t>
      </w:r>
      <w:r>
        <w:rPr>
          <w:rFonts w:hint="eastAsia" w:ascii="仿宋_GB2312" w:eastAsia="仿宋_GB2312"/>
          <w:sz w:val="28"/>
          <w:szCs w:val="28"/>
        </w:rPr>
        <w:t>腾龙特种树脂（厦门）有限公司等四家企业）共同投资设立，其中福建省福化古雷石油化工有限公司以现金出资持股</w:t>
      </w:r>
      <w:r>
        <w:rPr>
          <w:rFonts w:ascii="仿宋_GB2312" w:eastAsia="仿宋_GB2312"/>
          <w:sz w:val="28"/>
          <w:szCs w:val="28"/>
        </w:rPr>
        <w:t xml:space="preserve"> 90%</w:t>
      </w:r>
      <w:r>
        <w:rPr>
          <w:rFonts w:hint="eastAsia" w:ascii="仿宋_GB2312" w:eastAsia="仿宋_GB2312"/>
          <w:sz w:val="28"/>
          <w:szCs w:val="28"/>
        </w:rPr>
        <w:t>，原台方股东以重组标的净资产出资持股</w:t>
      </w:r>
      <w:r>
        <w:rPr>
          <w:rFonts w:ascii="仿宋_GB2312" w:eastAsia="仿宋_GB2312"/>
          <w:sz w:val="28"/>
          <w:szCs w:val="28"/>
        </w:rPr>
        <w:t>10%</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公司于</w:t>
      </w:r>
      <w:r>
        <w:rPr>
          <w:rFonts w:ascii="仿宋_GB2312" w:eastAsia="仿宋_GB2312"/>
          <w:sz w:val="28"/>
          <w:szCs w:val="28"/>
        </w:rPr>
        <w:t xml:space="preserve">2018 </w:t>
      </w:r>
      <w:r>
        <w:rPr>
          <w:rFonts w:hint="eastAsia" w:ascii="仿宋_GB2312" w:eastAsia="仿宋_GB2312"/>
          <w:sz w:val="28"/>
          <w:szCs w:val="28"/>
        </w:rPr>
        <w:t>年</w:t>
      </w:r>
      <w:r>
        <w:rPr>
          <w:rFonts w:ascii="仿宋_GB2312" w:eastAsia="仿宋_GB2312"/>
          <w:sz w:val="28"/>
          <w:szCs w:val="28"/>
        </w:rPr>
        <w:t>1</w:t>
      </w:r>
      <w:r>
        <w:rPr>
          <w:rFonts w:hint="eastAsia" w:ascii="仿宋_GB2312" w:eastAsia="仿宋_GB2312"/>
          <w:sz w:val="28"/>
          <w:szCs w:val="28"/>
        </w:rPr>
        <w:t>月</w:t>
      </w:r>
      <w:r>
        <w:rPr>
          <w:rFonts w:ascii="仿宋_GB2312" w:eastAsia="仿宋_GB2312"/>
          <w:sz w:val="28"/>
          <w:szCs w:val="28"/>
        </w:rPr>
        <w:t>28</w:t>
      </w:r>
      <w:r>
        <w:rPr>
          <w:rFonts w:hint="eastAsia" w:ascii="仿宋_GB2312" w:eastAsia="仿宋_GB2312"/>
          <w:sz w:val="28"/>
          <w:szCs w:val="28"/>
        </w:rPr>
        <w:t>日股权重组和债务重组协议生效后，正式运作。重组后公司定员</w:t>
      </w:r>
      <w:r>
        <w:rPr>
          <w:rFonts w:ascii="仿宋_GB2312" w:eastAsia="仿宋_GB2312"/>
          <w:sz w:val="28"/>
          <w:szCs w:val="28"/>
        </w:rPr>
        <w:t>1599</w:t>
      </w:r>
      <w:r>
        <w:rPr>
          <w:rFonts w:hint="eastAsia" w:ascii="仿宋_GB2312" w:eastAsia="仿宋_GB2312"/>
          <w:sz w:val="28"/>
          <w:szCs w:val="28"/>
        </w:rPr>
        <w:t>人。</w:t>
      </w:r>
      <w:r>
        <w:rPr>
          <w:rFonts w:ascii="仿宋_GB2312" w:eastAsia="仿宋_GB2312"/>
          <w:sz w:val="28"/>
          <w:szCs w:val="28"/>
        </w:rPr>
        <w:t xml:space="preserve"> </w:t>
      </w:r>
      <w:r>
        <w:rPr>
          <w:rFonts w:hint="eastAsia" w:ascii="仿宋_GB2312" w:eastAsia="仿宋_GB2312"/>
          <w:sz w:val="28"/>
          <w:szCs w:val="28"/>
        </w:rPr>
        <w:t>公司按照福建石化集团统一部署，创新拓展发展思路，整合集团优势资源，做大做强古雷石化产业。目前公司总投资约</w:t>
      </w:r>
      <w:r>
        <w:rPr>
          <w:rFonts w:ascii="仿宋_GB2312" w:eastAsia="仿宋_GB2312"/>
          <w:sz w:val="28"/>
          <w:szCs w:val="28"/>
        </w:rPr>
        <w:t>290</w:t>
      </w:r>
      <w:r>
        <w:rPr>
          <w:rFonts w:hint="eastAsia" w:ascii="仿宋_GB2312" w:eastAsia="仿宋_GB2312"/>
          <w:sz w:val="28"/>
          <w:szCs w:val="28"/>
        </w:rPr>
        <w:t>亿元人民币，拥有年产</w:t>
      </w:r>
      <w:r>
        <w:rPr>
          <w:rFonts w:ascii="仿宋_GB2312" w:eastAsia="仿宋_GB2312"/>
          <w:sz w:val="28"/>
          <w:szCs w:val="28"/>
        </w:rPr>
        <w:t>450</w:t>
      </w:r>
      <w:r>
        <w:rPr>
          <w:rFonts w:hint="eastAsia" w:ascii="仿宋_GB2312" w:eastAsia="仿宋_GB2312"/>
          <w:sz w:val="28"/>
          <w:szCs w:val="28"/>
        </w:rPr>
        <w:t>万吨精对苯二甲酸（</w:t>
      </w:r>
      <w:r>
        <w:rPr>
          <w:rFonts w:ascii="仿宋_GB2312" w:eastAsia="仿宋_GB2312"/>
          <w:sz w:val="28"/>
          <w:szCs w:val="28"/>
        </w:rPr>
        <w:t>PTA</w:t>
      </w:r>
      <w:r>
        <w:rPr>
          <w:rFonts w:hint="eastAsia" w:ascii="仿宋_GB2312" w:eastAsia="仿宋_GB2312"/>
          <w:sz w:val="28"/>
          <w:szCs w:val="28"/>
        </w:rPr>
        <w:t>）、年产</w:t>
      </w:r>
      <w:r>
        <w:rPr>
          <w:rFonts w:ascii="仿宋_GB2312" w:eastAsia="仿宋_GB2312"/>
          <w:sz w:val="28"/>
          <w:szCs w:val="28"/>
        </w:rPr>
        <w:t>160</w:t>
      </w:r>
      <w:r>
        <w:rPr>
          <w:rFonts w:hint="eastAsia" w:ascii="仿宋_GB2312" w:eastAsia="仿宋_GB2312"/>
          <w:sz w:val="28"/>
          <w:szCs w:val="28"/>
        </w:rPr>
        <w:t>万吨对二甲苯（</w:t>
      </w:r>
      <w:r>
        <w:rPr>
          <w:rFonts w:ascii="仿宋_GB2312" w:eastAsia="仿宋_GB2312"/>
          <w:sz w:val="28"/>
          <w:szCs w:val="28"/>
        </w:rPr>
        <w:t>PX</w:t>
      </w:r>
      <w:r>
        <w:rPr>
          <w:rFonts w:hint="eastAsia" w:ascii="仿宋_GB2312" w:eastAsia="仿宋_GB2312"/>
          <w:sz w:val="28"/>
          <w:szCs w:val="28"/>
        </w:rPr>
        <w:t>）生产装置、液体化工码头、散杂货码头等公用配套设施，合计年生产商品量</w:t>
      </w:r>
      <w:r>
        <w:rPr>
          <w:rFonts w:ascii="仿宋_GB2312" w:eastAsia="仿宋_GB2312"/>
          <w:sz w:val="28"/>
          <w:szCs w:val="28"/>
        </w:rPr>
        <w:t>1050</w:t>
      </w:r>
      <w:r>
        <w:rPr>
          <w:rFonts w:hint="eastAsia" w:ascii="仿宋_GB2312" w:eastAsia="仿宋_GB2312"/>
          <w:sz w:val="28"/>
          <w:szCs w:val="28"/>
        </w:rPr>
        <w:t>万吨，年销售收入超</w:t>
      </w:r>
      <w:r>
        <w:rPr>
          <w:rFonts w:ascii="仿宋_GB2312" w:eastAsia="仿宋_GB2312"/>
          <w:sz w:val="28"/>
          <w:szCs w:val="28"/>
        </w:rPr>
        <w:t>400</w:t>
      </w:r>
      <w:r>
        <w:rPr>
          <w:rFonts w:hint="eastAsia" w:ascii="仿宋_GB2312" w:eastAsia="仿宋_GB2312"/>
          <w:sz w:val="28"/>
          <w:szCs w:val="28"/>
        </w:rPr>
        <w:t>亿元，年利税总额超</w:t>
      </w:r>
      <w:r>
        <w:rPr>
          <w:rFonts w:ascii="仿宋_GB2312" w:eastAsia="仿宋_GB2312"/>
          <w:sz w:val="28"/>
          <w:szCs w:val="28"/>
        </w:rPr>
        <w:t>40</w:t>
      </w:r>
      <w:r>
        <w:rPr>
          <w:rFonts w:hint="eastAsia" w:ascii="仿宋_GB2312" w:eastAsia="仿宋_GB2312"/>
          <w:sz w:val="28"/>
          <w:szCs w:val="28"/>
        </w:rPr>
        <w:t>亿元。公司</w:t>
      </w:r>
      <w:r>
        <w:rPr>
          <w:rFonts w:ascii="仿宋_GB2312" w:eastAsia="仿宋_GB2312"/>
          <w:sz w:val="28"/>
          <w:szCs w:val="28"/>
        </w:rPr>
        <w:t>PX</w:t>
      </w:r>
      <w:r>
        <w:rPr>
          <w:rFonts w:hint="eastAsia" w:ascii="仿宋_GB2312" w:eastAsia="仿宋_GB2312"/>
          <w:sz w:val="28"/>
          <w:szCs w:val="28"/>
        </w:rPr>
        <w:t>、</w:t>
      </w:r>
      <w:r>
        <w:rPr>
          <w:rFonts w:ascii="仿宋_GB2312" w:eastAsia="仿宋_GB2312"/>
          <w:sz w:val="28"/>
          <w:szCs w:val="28"/>
        </w:rPr>
        <w:t>PTA</w:t>
      </w:r>
      <w:r>
        <w:rPr>
          <w:rFonts w:hint="eastAsia" w:ascii="仿宋_GB2312" w:eastAsia="仿宋_GB2312"/>
          <w:sz w:val="28"/>
          <w:szCs w:val="28"/>
        </w:rPr>
        <w:t>及配套装置是福建石化集团打造古雷石化产业群的重要组成部分，项目互为依托，实现生产成本最优化，具有较强的行业竞争力，同时带动古雷港经济开发区相关产业的发展。</w:t>
      </w:r>
    </w:p>
    <w:p>
      <w:pPr>
        <w:numPr>
          <w:ilvl w:val="0"/>
          <w:numId w:val="1"/>
        </w:numPr>
        <w:spacing w:line="360" w:lineRule="auto"/>
        <w:ind w:left="964" w:hanging="964" w:hangingChars="343"/>
        <w:rPr>
          <w:rFonts w:ascii="仿宋_GB2312" w:eastAsia="仿宋_GB2312"/>
          <w:b/>
          <w:sz w:val="28"/>
          <w:szCs w:val="28"/>
        </w:rPr>
      </w:pPr>
      <w:r>
        <w:rPr>
          <w:rFonts w:hint="eastAsia" w:ascii="仿宋_GB2312" w:eastAsia="仿宋_GB2312"/>
          <w:b/>
          <w:sz w:val="28"/>
          <w:szCs w:val="28"/>
        </w:rPr>
        <w:t>项目定义</w:t>
      </w:r>
    </w:p>
    <w:p>
      <w:pPr>
        <w:autoSpaceDE w:val="0"/>
        <w:autoSpaceDN w:val="0"/>
        <w:adjustRightInd w:val="0"/>
        <w:spacing w:line="360" w:lineRule="auto"/>
        <w:ind w:firstLine="840" w:firstLineChars="300"/>
        <w:jc w:val="left"/>
        <w:rPr>
          <w:rFonts w:ascii="仿宋_GB2312" w:eastAsia="仿宋_GB2312"/>
          <w:sz w:val="28"/>
          <w:szCs w:val="28"/>
        </w:rPr>
      </w:pPr>
      <w:bookmarkStart w:id="0" w:name="_Toc193013965"/>
      <w:bookmarkStart w:id="1" w:name="_Toc153873499"/>
      <w:r>
        <w:rPr>
          <w:rFonts w:hint="eastAsia" w:ascii="仿宋_GB2312" w:eastAsia="仿宋_GB2312"/>
          <w:sz w:val="28"/>
          <w:szCs w:val="28"/>
        </w:rPr>
        <w:t>项目名称：1、芳烃联合装置优化节能项目；2、原料适应性技改项目</w:t>
      </w:r>
    </w:p>
    <w:p>
      <w:pPr>
        <w:autoSpaceDE w:val="0"/>
        <w:autoSpaceDN w:val="0"/>
        <w:adjustRightInd w:val="0"/>
        <w:spacing w:line="360" w:lineRule="auto"/>
        <w:ind w:firstLine="840" w:firstLineChars="300"/>
        <w:jc w:val="left"/>
        <w:rPr>
          <w:rFonts w:ascii="仿宋_GB2312" w:eastAsia="仿宋_GB2312"/>
          <w:sz w:val="28"/>
          <w:szCs w:val="28"/>
        </w:rPr>
      </w:pPr>
      <w:r>
        <w:rPr>
          <w:rFonts w:hint="eastAsia" w:ascii="仿宋_GB2312" w:eastAsia="仿宋_GB2312"/>
          <w:sz w:val="28"/>
          <w:szCs w:val="28"/>
        </w:rPr>
        <w:t>项目地点：福建省漳州市古雷港经济开发区</w:t>
      </w:r>
    </w:p>
    <w:p>
      <w:pPr>
        <w:autoSpaceDE w:val="0"/>
        <w:autoSpaceDN w:val="0"/>
        <w:adjustRightInd w:val="0"/>
        <w:spacing w:line="360" w:lineRule="auto"/>
        <w:ind w:firstLine="840" w:firstLineChars="300"/>
        <w:jc w:val="left"/>
        <w:rPr>
          <w:rFonts w:ascii="仿宋_GB2312" w:eastAsia="仿宋_GB2312"/>
          <w:sz w:val="28"/>
          <w:szCs w:val="28"/>
        </w:rPr>
      </w:pPr>
      <w:r>
        <w:rPr>
          <w:rFonts w:hint="eastAsia" w:ascii="仿宋_GB2312" w:eastAsia="仿宋_GB2312"/>
          <w:sz w:val="28"/>
          <w:szCs w:val="28"/>
        </w:rPr>
        <w:t>业    主：福建福海创石油化工有限公司</w:t>
      </w:r>
    </w:p>
    <w:p>
      <w:pPr>
        <w:autoSpaceDE w:val="0"/>
        <w:autoSpaceDN w:val="0"/>
        <w:adjustRightInd w:val="0"/>
        <w:spacing w:line="360" w:lineRule="auto"/>
        <w:ind w:firstLine="840" w:firstLineChars="300"/>
        <w:jc w:val="left"/>
        <w:rPr>
          <w:rFonts w:ascii="仿宋_GB2312" w:eastAsia="仿宋_GB2312"/>
          <w:sz w:val="28"/>
          <w:szCs w:val="28"/>
        </w:rPr>
      </w:pPr>
      <w:r>
        <w:rPr>
          <w:rFonts w:ascii="仿宋_GB2312" w:eastAsia="仿宋_GB2312"/>
          <w:sz w:val="28"/>
          <w:szCs w:val="28"/>
        </w:rPr>
        <w:t>项目简介：</w:t>
      </w:r>
      <w:r>
        <w:rPr>
          <w:rFonts w:hint="eastAsia" w:ascii="仿宋_GB2312" w:eastAsia="仿宋_GB2312"/>
          <w:sz w:val="28"/>
          <w:szCs w:val="28"/>
        </w:rPr>
        <w:t>1、福建福海创石油化工有限公司芳烃联合装置优化节能项目的工程范围包括</w:t>
      </w:r>
      <w:r>
        <w:rPr>
          <w:rFonts w:ascii="仿宋_GB2312" w:eastAsia="仿宋_GB2312"/>
          <w:sz w:val="28"/>
          <w:szCs w:val="28"/>
        </w:rPr>
        <w:t>PX</w:t>
      </w:r>
      <w:r>
        <w:rPr>
          <w:rFonts w:hint="eastAsia" w:ascii="仿宋_GB2312" w:eastAsia="仿宋_GB2312"/>
          <w:sz w:val="28"/>
          <w:szCs w:val="28"/>
        </w:rPr>
        <w:t>联合装置的节能、改造、扩能，</w:t>
      </w:r>
      <w:r>
        <w:rPr>
          <w:rFonts w:ascii="仿宋_GB2312" w:eastAsia="仿宋_GB2312"/>
          <w:sz w:val="28"/>
          <w:szCs w:val="28"/>
        </w:rPr>
        <w:t>2#PSA</w:t>
      </w:r>
      <w:r>
        <w:rPr>
          <w:rFonts w:hint="eastAsia" w:ascii="仿宋_GB2312" w:eastAsia="仿宋_GB2312"/>
          <w:sz w:val="28"/>
          <w:szCs w:val="28"/>
        </w:rPr>
        <w:t>装置及部分系统的适应性改扩建。本项目单元主项与设计分工详见下表。</w:t>
      </w:r>
    </w:p>
    <w:tbl>
      <w:tblPr>
        <w:tblStyle w:val="6"/>
        <w:tblW w:w="8843" w:type="dxa"/>
        <w:tblInd w:w="113" w:type="dxa"/>
        <w:tblLayout w:type="fixed"/>
        <w:tblCellMar>
          <w:top w:w="0" w:type="dxa"/>
          <w:left w:w="0" w:type="dxa"/>
          <w:bottom w:w="0" w:type="dxa"/>
          <w:right w:w="0" w:type="dxa"/>
        </w:tblCellMar>
      </w:tblPr>
      <w:tblGrid>
        <w:gridCol w:w="644"/>
        <w:gridCol w:w="3459"/>
        <w:gridCol w:w="1737"/>
        <w:gridCol w:w="3003"/>
      </w:tblGrid>
      <w:tr>
        <w:tblPrEx>
          <w:tblCellMar>
            <w:top w:w="0" w:type="dxa"/>
            <w:left w:w="0" w:type="dxa"/>
            <w:bottom w:w="0" w:type="dxa"/>
            <w:right w:w="0" w:type="dxa"/>
          </w:tblCellMar>
        </w:tblPrEx>
        <w:trPr>
          <w:trHeight w:val="420" w:hRule="exact"/>
        </w:trPr>
        <w:tc>
          <w:tcPr>
            <w:tcW w:w="644" w:type="dxa"/>
            <w:tcBorders>
              <w:top w:val="single" w:color="000000" w:sz="10" w:space="0"/>
              <w:left w:val="single" w:color="000000" w:sz="10" w:space="0"/>
              <w:bottom w:val="single" w:color="000000" w:sz="4" w:space="0"/>
              <w:right w:val="single" w:color="000000" w:sz="4" w:space="0"/>
            </w:tcBorders>
          </w:tcPr>
          <w:p>
            <w:pPr>
              <w:pStyle w:val="12"/>
              <w:kinsoku w:val="0"/>
              <w:overflowPunct w:val="0"/>
              <w:spacing w:before="27"/>
              <w:ind w:left="98"/>
            </w:pPr>
            <w:r>
              <w:rPr>
                <w:rFonts w:hint="eastAsia" w:ascii="宋体" w:cs="宋体"/>
                <w:spacing w:val="-1"/>
                <w:sz w:val="21"/>
                <w:szCs w:val="21"/>
              </w:rPr>
              <w:t>序号</w:t>
            </w:r>
          </w:p>
        </w:tc>
        <w:tc>
          <w:tcPr>
            <w:tcW w:w="3459" w:type="dxa"/>
            <w:tcBorders>
              <w:top w:val="single" w:color="000000" w:sz="10" w:space="0"/>
              <w:left w:val="single" w:color="000000" w:sz="4" w:space="0"/>
              <w:bottom w:val="single" w:color="000000" w:sz="4" w:space="0"/>
              <w:right w:val="single" w:color="000000" w:sz="4" w:space="0"/>
            </w:tcBorders>
          </w:tcPr>
          <w:p>
            <w:pPr>
              <w:pStyle w:val="12"/>
              <w:kinsoku w:val="0"/>
              <w:overflowPunct w:val="0"/>
              <w:spacing w:before="27"/>
              <w:jc w:val="center"/>
            </w:pPr>
            <w:r>
              <w:rPr>
                <w:rFonts w:hint="eastAsia" w:ascii="宋体" w:cs="宋体"/>
                <w:sz w:val="21"/>
                <w:szCs w:val="21"/>
              </w:rPr>
              <w:t>主项名称</w:t>
            </w:r>
          </w:p>
        </w:tc>
        <w:tc>
          <w:tcPr>
            <w:tcW w:w="1737" w:type="dxa"/>
            <w:tcBorders>
              <w:top w:val="single" w:color="000000" w:sz="10" w:space="0"/>
              <w:left w:val="single" w:color="000000" w:sz="4" w:space="0"/>
              <w:bottom w:val="single" w:color="000000" w:sz="4" w:space="0"/>
              <w:right w:val="single" w:color="000000" w:sz="4" w:space="0"/>
            </w:tcBorders>
          </w:tcPr>
          <w:p>
            <w:pPr>
              <w:pStyle w:val="12"/>
              <w:kinsoku w:val="0"/>
              <w:overflowPunct w:val="0"/>
              <w:spacing w:before="27"/>
              <w:ind w:left="96"/>
            </w:pPr>
            <w:r>
              <w:rPr>
                <w:rFonts w:hint="eastAsia" w:ascii="宋体" w:cs="宋体"/>
                <w:sz w:val="21"/>
                <w:szCs w:val="21"/>
              </w:rPr>
              <w:t>设计规模万吨</w:t>
            </w:r>
            <w:r>
              <w:rPr>
                <w:rFonts w:ascii="Arial" w:hAnsi="Arial" w:cs="Arial"/>
                <w:sz w:val="21"/>
                <w:szCs w:val="21"/>
              </w:rPr>
              <w:t>/</w:t>
            </w:r>
            <w:r>
              <w:rPr>
                <w:rFonts w:hint="eastAsia" w:ascii="宋体" w:hAnsi="Arial" w:cs="宋体"/>
                <w:sz w:val="21"/>
                <w:szCs w:val="21"/>
              </w:rPr>
              <w:t>年</w:t>
            </w:r>
          </w:p>
        </w:tc>
        <w:tc>
          <w:tcPr>
            <w:tcW w:w="3003" w:type="dxa"/>
            <w:tcBorders>
              <w:top w:val="single" w:color="000000" w:sz="10" w:space="0"/>
              <w:left w:val="single" w:color="000000" w:sz="4" w:space="0"/>
              <w:bottom w:val="single" w:color="000000" w:sz="4" w:space="0"/>
              <w:right w:val="single" w:color="000000" w:sz="10" w:space="0"/>
            </w:tcBorders>
          </w:tcPr>
          <w:p>
            <w:pPr>
              <w:pStyle w:val="12"/>
              <w:kinsoku w:val="0"/>
              <w:overflowPunct w:val="0"/>
              <w:spacing w:before="27"/>
              <w:ind w:left="2"/>
              <w:jc w:val="center"/>
            </w:pPr>
            <w:r>
              <w:rPr>
                <w:rFonts w:hint="eastAsia" w:ascii="宋体" w:cs="宋体"/>
                <w:spacing w:val="-1"/>
                <w:sz w:val="21"/>
                <w:szCs w:val="21"/>
              </w:rPr>
              <w:t>说明</w:t>
            </w:r>
          </w:p>
        </w:tc>
      </w:tr>
      <w:tr>
        <w:tblPrEx>
          <w:tblCellMar>
            <w:top w:w="0" w:type="dxa"/>
            <w:left w:w="0" w:type="dxa"/>
            <w:bottom w:w="0" w:type="dxa"/>
            <w:right w:w="0" w:type="dxa"/>
          </w:tblCellMar>
        </w:tblPrEx>
        <w:trPr>
          <w:trHeight w:val="412" w:hRule="exact"/>
        </w:trPr>
        <w:tc>
          <w:tcPr>
            <w:tcW w:w="644" w:type="dxa"/>
            <w:tcBorders>
              <w:top w:val="single" w:color="000000" w:sz="4" w:space="0"/>
              <w:left w:val="single" w:color="000000" w:sz="10" w:space="0"/>
              <w:bottom w:val="single" w:color="000000" w:sz="4" w:space="0"/>
              <w:right w:val="single" w:color="000000" w:sz="4" w:space="0"/>
            </w:tcBorders>
          </w:tcPr>
          <w:p>
            <w:pPr>
              <w:pStyle w:val="12"/>
              <w:kinsoku w:val="0"/>
              <w:overflowPunct w:val="0"/>
              <w:spacing w:before="76"/>
              <w:ind w:right="5"/>
              <w:jc w:val="center"/>
            </w:pPr>
            <w:r>
              <w:rPr>
                <w:rFonts w:ascii="Arial" w:hAnsi="Arial" w:cs="Arial"/>
                <w:b/>
                <w:bCs/>
                <w:sz w:val="21"/>
                <w:szCs w:val="21"/>
              </w:rPr>
              <w:t>1</w:t>
            </w:r>
          </w:p>
        </w:tc>
        <w:tc>
          <w:tcPr>
            <w:tcW w:w="3459" w:type="dxa"/>
            <w:tcBorders>
              <w:top w:val="single" w:color="000000" w:sz="4" w:space="0"/>
              <w:left w:val="single" w:color="000000" w:sz="4" w:space="0"/>
              <w:bottom w:val="single" w:color="000000" w:sz="4" w:space="0"/>
              <w:right w:val="single" w:color="000000" w:sz="4" w:space="0"/>
            </w:tcBorders>
          </w:tcPr>
          <w:p>
            <w:pPr>
              <w:pStyle w:val="12"/>
              <w:kinsoku w:val="0"/>
              <w:overflowPunct w:val="0"/>
              <w:spacing w:before="27"/>
              <w:ind w:left="20"/>
            </w:pPr>
            <w:r>
              <w:rPr>
                <w:rFonts w:hint="eastAsia" w:ascii="宋体" w:cs="宋体"/>
                <w:b/>
                <w:bCs/>
                <w:spacing w:val="1"/>
                <w:sz w:val="21"/>
                <w:szCs w:val="21"/>
              </w:rPr>
              <w:t>生产装置</w:t>
            </w:r>
          </w:p>
        </w:tc>
        <w:tc>
          <w:tcPr>
            <w:tcW w:w="1737" w:type="dxa"/>
            <w:tcBorders>
              <w:top w:val="single" w:color="000000" w:sz="4" w:space="0"/>
              <w:left w:val="single" w:color="000000" w:sz="4" w:space="0"/>
              <w:bottom w:val="single" w:color="000000" w:sz="4" w:space="0"/>
              <w:right w:val="single" w:color="000000" w:sz="4" w:space="0"/>
            </w:tcBorders>
          </w:tcPr>
          <w:p/>
        </w:tc>
        <w:tc>
          <w:tcPr>
            <w:tcW w:w="3003" w:type="dxa"/>
            <w:tcBorders>
              <w:top w:val="single" w:color="000000" w:sz="4" w:space="0"/>
              <w:left w:val="single" w:color="000000" w:sz="4" w:space="0"/>
              <w:bottom w:val="single" w:color="000000" w:sz="4" w:space="0"/>
              <w:right w:val="single" w:color="000000" w:sz="10" w:space="0"/>
            </w:tcBorders>
          </w:tcPr>
          <w:p/>
        </w:tc>
      </w:tr>
      <w:tr>
        <w:tblPrEx>
          <w:tblCellMar>
            <w:top w:w="0" w:type="dxa"/>
            <w:left w:w="0" w:type="dxa"/>
            <w:bottom w:w="0" w:type="dxa"/>
            <w:right w:w="0" w:type="dxa"/>
          </w:tblCellMar>
        </w:tblPrEx>
        <w:trPr>
          <w:trHeight w:val="559" w:hRule="exact"/>
        </w:trPr>
        <w:tc>
          <w:tcPr>
            <w:tcW w:w="644" w:type="dxa"/>
            <w:tcBorders>
              <w:top w:val="single" w:color="000000" w:sz="4" w:space="0"/>
              <w:left w:val="single" w:color="000000" w:sz="10" w:space="0"/>
              <w:bottom w:val="single" w:color="000000" w:sz="4" w:space="0"/>
              <w:right w:val="single" w:color="000000" w:sz="4" w:space="0"/>
            </w:tcBorders>
          </w:tcPr>
          <w:p>
            <w:pPr>
              <w:pStyle w:val="12"/>
              <w:kinsoku w:val="0"/>
              <w:overflowPunct w:val="0"/>
              <w:spacing w:before="149"/>
              <w:ind w:left="160"/>
            </w:pPr>
            <w:r>
              <w:rPr>
                <w:rFonts w:ascii="Arial" w:hAnsi="Arial" w:cs="Arial"/>
                <w:spacing w:val="-1"/>
                <w:sz w:val="21"/>
                <w:szCs w:val="21"/>
              </w:rPr>
              <w:t>1.1</w:t>
            </w:r>
          </w:p>
        </w:tc>
        <w:tc>
          <w:tcPr>
            <w:tcW w:w="3459" w:type="dxa"/>
            <w:tcBorders>
              <w:top w:val="single" w:color="000000" w:sz="4" w:space="0"/>
              <w:left w:val="single" w:color="000000" w:sz="4" w:space="0"/>
              <w:bottom w:val="single" w:color="000000" w:sz="4" w:space="0"/>
              <w:right w:val="single" w:color="000000" w:sz="4" w:space="0"/>
            </w:tcBorders>
          </w:tcPr>
          <w:p>
            <w:pPr>
              <w:pStyle w:val="12"/>
              <w:kinsoku w:val="0"/>
              <w:overflowPunct w:val="0"/>
              <w:spacing w:before="100"/>
              <w:ind w:left="20"/>
            </w:pPr>
            <w:r>
              <w:rPr>
                <w:rFonts w:ascii="Arial" w:hAnsi="Arial" w:cs="Arial"/>
                <w:sz w:val="21"/>
                <w:szCs w:val="21"/>
              </w:rPr>
              <w:t>PX</w:t>
            </w:r>
            <w:r>
              <w:rPr>
                <w:rFonts w:ascii="Arial" w:hAnsi="Arial" w:cs="Arial"/>
                <w:spacing w:val="-18"/>
                <w:sz w:val="21"/>
                <w:szCs w:val="21"/>
              </w:rPr>
              <w:t xml:space="preserve"> </w:t>
            </w:r>
            <w:r>
              <w:rPr>
                <w:rFonts w:hint="eastAsia" w:ascii="宋体" w:hAnsi="Arial" w:cs="宋体"/>
                <w:sz w:val="21"/>
                <w:szCs w:val="21"/>
              </w:rPr>
              <w:t>联合装置</w:t>
            </w:r>
          </w:p>
        </w:tc>
        <w:tc>
          <w:tcPr>
            <w:tcW w:w="1737" w:type="dxa"/>
            <w:tcBorders>
              <w:top w:val="single" w:color="000000" w:sz="4" w:space="0"/>
              <w:left w:val="single" w:color="000000" w:sz="4" w:space="0"/>
              <w:bottom w:val="single" w:color="000000" w:sz="4" w:space="0"/>
              <w:right w:val="single" w:color="000000" w:sz="4" w:space="0"/>
            </w:tcBorders>
          </w:tcPr>
          <w:p>
            <w:pPr>
              <w:pStyle w:val="12"/>
              <w:kinsoku w:val="0"/>
              <w:overflowPunct w:val="0"/>
              <w:spacing w:before="100"/>
              <w:ind w:left="336"/>
            </w:pPr>
            <w:r>
              <w:rPr>
                <w:rFonts w:ascii="Arial" w:hAnsi="Arial" w:cs="Arial"/>
                <w:sz w:val="21"/>
                <w:szCs w:val="21"/>
              </w:rPr>
              <w:t>160</w:t>
            </w:r>
            <w:r>
              <w:rPr>
                <w:rFonts w:hint="eastAsia" w:ascii="宋体" w:hAnsi="Arial" w:cs="宋体"/>
                <w:sz w:val="21"/>
                <w:szCs w:val="21"/>
              </w:rPr>
              <w:t>（</w:t>
            </w:r>
            <w:r>
              <w:rPr>
                <w:rFonts w:ascii="Arial" w:hAnsi="Arial" w:cs="Arial"/>
                <w:sz w:val="21"/>
                <w:szCs w:val="21"/>
              </w:rPr>
              <w:t>PX</w:t>
            </w:r>
            <w:r>
              <w:rPr>
                <w:rFonts w:hint="eastAsia" w:ascii="宋体" w:hAnsi="Arial" w:cs="宋体"/>
                <w:sz w:val="21"/>
                <w:szCs w:val="21"/>
              </w:rPr>
              <w:t>）</w:t>
            </w:r>
          </w:p>
        </w:tc>
        <w:tc>
          <w:tcPr>
            <w:tcW w:w="3003" w:type="dxa"/>
            <w:tcBorders>
              <w:top w:val="single" w:color="000000" w:sz="4" w:space="0"/>
              <w:left w:val="single" w:color="000000" w:sz="4" w:space="0"/>
              <w:bottom w:val="single" w:color="000000" w:sz="4" w:space="0"/>
              <w:right w:val="single" w:color="000000" w:sz="10" w:space="0"/>
            </w:tcBorders>
          </w:tcPr>
          <w:p>
            <w:pPr>
              <w:pStyle w:val="12"/>
              <w:kinsoku w:val="0"/>
              <w:overflowPunct w:val="0"/>
              <w:spacing w:line="247" w:lineRule="exact"/>
              <w:ind w:left="7"/>
              <w:jc w:val="center"/>
              <w:rPr>
                <w:rFonts w:ascii="宋体" w:hAnsi="Arial" w:cs="宋体"/>
                <w:sz w:val="21"/>
                <w:szCs w:val="21"/>
                <w:lang w:eastAsia="zh-CN"/>
              </w:rPr>
            </w:pPr>
            <w:r>
              <w:rPr>
                <w:rFonts w:hint="eastAsia" w:ascii="宋体" w:cs="宋体"/>
                <w:sz w:val="21"/>
                <w:szCs w:val="21"/>
                <w:lang w:eastAsia="zh-CN"/>
              </w:rPr>
              <w:t>节能改造，同时</w:t>
            </w:r>
            <w:r>
              <w:rPr>
                <w:rFonts w:ascii="宋体" w:cs="宋体"/>
                <w:spacing w:val="-65"/>
                <w:sz w:val="21"/>
                <w:szCs w:val="21"/>
                <w:lang w:eastAsia="zh-CN"/>
              </w:rPr>
              <w:t xml:space="preserve"> </w:t>
            </w:r>
            <w:r>
              <w:rPr>
                <w:rFonts w:ascii="Arial" w:hAnsi="Arial" w:cs="Arial"/>
                <w:sz w:val="21"/>
                <w:szCs w:val="21"/>
                <w:lang w:eastAsia="zh-CN"/>
              </w:rPr>
              <w:t>PX</w:t>
            </w:r>
            <w:r>
              <w:rPr>
                <w:rFonts w:ascii="Arial" w:hAnsi="Arial" w:cs="Arial"/>
                <w:spacing w:val="-17"/>
                <w:sz w:val="21"/>
                <w:szCs w:val="21"/>
                <w:lang w:eastAsia="zh-CN"/>
              </w:rPr>
              <w:t xml:space="preserve"> </w:t>
            </w:r>
            <w:r>
              <w:rPr>
                <w:rFonts w:hint="eastAsia" w:ascii="宋体" w:hAnsi="Arial" w:cs="宋体"/>
                <w:sz w:val="21"/>
                <w:szCs w:val="21"/>
                <w:lang w:eastAsia="zh-CN"/>
              </w:rPr>
              <w:t>联合装置扩</w:t>
            </w:r>
          </w:p>
          <w:p>
            <w:pPr>
              <w:pStyle w:val="12"/>
              <w:kinsoku w:val="0"/>
              <w:overflowPunct w:val="0"/>
              <w:spacing w:line="280" w:lineRule="exact"/>
              <w:ind w:left="4"/>
              <w:jc w:val="center"/>
            </w:pPr>
            <w:r>
              <w:rPr>
                <w:rFonts w:hint="eastAsia" w:ascii="宋体" w:cs="宋体"/>
                <w:spacing w:val="-1"/>
                <w:sz w:val="21"/>
                <w:szCs w:val="21"/>
              </w:rPr>
              <w:t>能至</w:t>
            </w:r>
            <w:r>
              <w:rPr>
                <w:rFonts w:ascii="宋体" w:cs="宋体"/>
                <w:spacing w:val="-58"/>
                <w:sz w:val="21"/>
                <w:szCs w:val="21"/>
              </w:rPr>
              <w:t xml:space="preserve"> </w:t>
            </w:r>
            <w:r>
              <w:rPr>
                <w:rFonts w:ascii="Arial" w:hAnsi="Arial" w:cs="Arial"/>
                <w:spacing w:val="-1"/>
                <w:sz w:val="21"/>
                <w:szCs w:val="21"/>
              </w:rPr>
              <w:t>192</w:t>
            </w:r>
            <w:r>
              <w:rPr>
                <w:rFonts w:ascii="Arial" w:hAnsi="Arial" w:cs="Arial"/>
                <w:spacing w:val="-9"/>
                <w:sz w:val="21"/>
                <w:szCs w:val="21"/>
              </w:rPr>
              <w:t xml:space="preserve"> </w:t>
            </w:r>
            <w:r>
              <w:rPr>
                <w:rFonts w:hint="eastAsia" w:ascii="宋体" w:hAnsi="Arial" w:cs="宋体"/>
                <w:sz w:val="21"/>
                <w:szCs w:val="21"/>
              </w:rPr>
              <w:t>万吨</w:t>
            </w:r>
            <w:r>
              <w:rPr>
                <w:rFonts w:ascii="Arial" w:hAnsi="Arial" w:cs="Arial"/>
                <w:sz w:val="21"/>
                <w:szCs w:val="21"/>
              </w:rPr>
              <w:t>/</w:t>
            </w:r>
            <w:r>
              <w:rPr>
                <w:rFonts w:hint="eastAsia" w:ascii="宋体" w:hAnsi="Arial" w:cs="宋体"/>
                <w:sz w:val="21"/>
                <w:szCs w:val="21"/>
              </w:rPr>
              <w:t>年</w:t>
            </w:r>
          </w:p>
        </w:tc>
      </w:tr>
      <w:tr>
        <w:tblPrEx>
          <w:tblCellMar>
            <w:top w:w="0" w:type="dxa"/>
            <w:left w:w="0" w:type="dxa"/>
            <w:bottom w:w="0" w:type="dxa"/>
            <w:right w:w="0" w:type="dxa"/>
          </w:tblCellMar>
        </w:tblPrEx>
        <w:trPr>
          <w:trHeight w:val="412" w:hRule="exact"/>
        </w:trPr>
        <w:tc>
          <w:tcPr>
            <w:tcW w:w="644" w:type="dxa"/>
            <w:tcBorders>
              <w:top w:val="single" w:color="000000" w:sz="4" w:space="0"/>
              <w:left w:val="single" w:color="000000" w:sz="10" w:space="0"/>
              <w:bottom w:val="single" w:color="000000" w:sz="4" w:space="0"/>
              <w:right w:val="single" w:color="000000" w:sz="4" w:space="0"/>
            </w:tcBorders>
          </w:tcPr>
          <w:p>
            <w:pPr>
              <w:pStyle w:val="12"/>
              <w:kinsoku w:val="0"/>
              <w:overflowPunct w:val="0"/>
              <w:spacing w:before="77"/>
              <w:ind w:left="160"/>
            </w:pPr>
            <w:r>
              <w:rPr>
                <w:rFonts w:ascii="Arial" w:hAnsi="Arial" w:cs="Arial"/>
                <w:sz w:val="21"/>
                <w:szCs w:val="21"/>
              </w:rPr>
              <w:t>1.2</w:t>
            </w:r>
          </w:p>
        </w:tc>
        <w:tc>
          <w:tcPr>
            <w:tcW w:w="3459" w:type="dxa"/>
            <w:tcBorders>
              <w:top w:val="single" w:color="000000" w:sz="4" w:space="0"/>
              <w:left w:val="single" w:color="000000" w:sz="4" w:space="0"/>
              <w:bottom w:val="single" w:color="000000" w:sz="4" w:space="0"/>
              <w:right w:val="single" w:color="000000" w:sz="4" w:space="0"/>
            </w:tcBorders>
          </w:tcPr>
          <w:p>
            <w:pPr>
              <w:pStyle w:val="12"/>
              <w:kinsoku w:val="0"/>
              <w:overflowPunct w:val="0"/>
              <w:spacing w:before="28"/>
              <w:ind w:left="20"/>
              <w:rPr>
                <w:lang w:eastAsia="zh-CN"/>
              </w:rPr>
            </w:pPr>
            <w:r>
              <w:rPr>
                <w:rFonts w:ascii="Arial" w:hAnsi="Arial" w:cs="Arial"/>
                <w:sz w:val="21"/>
                <w:szCs w:val="21"/>
                <w:lang w:eastAsia="zh-CN"/>
              </w:rPr>
              <w:t>8</w:t>
            </w:r>
            <w:r>
              <w:rPr>
                <w:rFonts w:ascii="Arial" w:hAnsi="Arial" w:cs="Arial"/>
                <w:spacing w:val="-15"/>
                <w:sz w:val="21"/>
                <w:szCs w:val="21"/>
                <w:lang w:eastAsia="zh-CN"/>
              </w:rPr>
              <w:t xml:space="preserve"> </w:t>
            </w:r>
            <w:r>
              <w:rPr>
                <w:rFonts w:hint="eastAsia" w:ascii="宋体" w:hAnsi="Arial" w:cs="宋体"/>
                <w:sz w:val="21"/>
                <w:szCs w:val="21"/>
                <w:lang w:eastAsia="zh-CN"/>
              </w:rPr>
              <w:t>万标立</w:t>
            </w:r>
            <w:r>
              <w:rPr>
                <w:rFonts w:ascii="Arial" w:hAnsi="Arial" w:cs="Arial"/>
                <w:sz w:val="21"/>
                <w:szCs w:val="21"/>
                <w:lang w:eastAsia="zh-CN"/>
              </w:rPr>
              <w:t>/</w:t>
            </w:r>
            <w:r>
              <w:rPr>
                <w:rFonts w:hint="eastAsia" w:ascii="宋体" w:hAnsi="Arial" w:cs="宋体"/>
                <w:sz w:val="21"/>
                <w:szCs w:val="21"/>
                <w:lang w:eastAsia="zh-CN"/>
              </w:rPr>
              <w:t>小时</w:t>
            </w:r>
            <w:r>
              <w:rPr>
                <w:rFonts w:ascii="宋体" w:hAnsi="Arial" w:cs="宋体"/>
                <w:spacing w:val="-58"/>
                <w:sz w:val="21"/>
                <w:szCs w:val="21"/>
                <w:lang w:eastAsia="zh-CN"/>
              </w:rPr>
              <w:t xml:space="preserve"> </w:t>
            </w:r>
            <w:r>
              <w:rPr>
                <w:rFonts w:ascii="Arial" w:hAnsi="Arial" w:cs="Arial"/>
                <w:sz w:val="21"/>
                <w:szCs w:val="21"/>
                <w:lang w:eastAsia="zh-CN"/>
              </w:rPr>
              <w:t>2#PSA</w:t>
            </w:r>
            <w:r>
              <w:rPr>
                <w:rFonts w:ascii="Arial" w:hAnsi="Arial" w:cs="Arial"/>
                <w:spacing w:val="-13"/>
                <w:sz w:val="21"/>
                <w:szCs w:val="21"/>
                <w:lang w:eastAsia="zh-CN"/>
              </w:rPr>
              <w:t xml:space="preserve"> </w:t>
            </w:r>
            <w:r>
              <w:rPr>
                <w:rFonts w:hint="eastAsia" w:ascii="宋体" w:hAnsi="Arial" w:cs="宋体"/>
                <w:spacing w:val="-1"/>
                <w:sz w:val="21"/>
                <w:szCs w:val="21"/>
                <w:lang w:eastAsia="zh-CN"/>
              </w:rPr>
              <w:t>装置</w:t>
            </w:r>
          </w:p>
        </w:tc>
        <w:tc>
          <w:tcPr>
            <w:tcW w:w="1737" w:type="dxa"/>
            <w:tcBorders>
              <w:top w:val="single" w:color="000000" w:sz="4" w:space="0"/>
              <w:left w:val="single" w:color="000000" w:sz="4" w:space="0"/>
              <w:bottom w:val="single" w:color="000000" w:sz="4" w:space="0"/>
              <w:right w:val="single" w:color="000000" w:sz="4" w:space="0"/>
            </w:tcBorders>
          </w:tcPr>
          <w:p>
            <w:pPr>
              <w:pStyle w:val="12"/>
              <w:kinsoku w:val="0"/>
              <w:overflowPunct w:val="0"/>
              <w:spacing w:before="28"/>
              <w:ind w:left="221"/>
            </w:pPr>
            <w:r>
              <w:rPr>
                <w:rFonts w:ascii="Arial" w:hAnsi="Arial" w:cs="Arial"/>
                <w:sz w:val="21"/>
                <w:szCs w:val="21"/>
              </w:rPr>
              <w:t>8</w:t>
            </w:r>
            <w:r>
              <w:rPr>
                <w:rFonts w:ascii="Arial" w:hAnsi="Arial" w:cs="Arial"/>
                <w:spacing w:val="-20"/>
                <w:sz w:val="21"/>
                <w:szCs w:val="21"/>
              </w:rPr>
              <w:t xml:space="preserve"> </w:t>
            </w:r>
            <w:r>
              <w:rPr>
                <w:rFonts w:hint="eastAsia" w:ascii="宋体" w:hAnsi="Arial" w:cs="宋体"/>
                <w:sz w:val="21"/>
                <w:szCs w:val="21"/>
              </w:rPr>
              <w:t>万标立</w:t>
            </w:r>
            <w:r>
              <w:rPr>
                <w:rFonts w:ascii="Arial" w:hAnsi="Arial" w:cs="Arial"/>
                <w:sz w:val="21"/>
                <w:szCs w:val="21"/>
              </w:rPr>
              <w:t>/</w:t>
            </w:r>
            <w:r>
              <w:rPr>
                <w:rFonts w:hint="eastAsia" w:ascii="宋体" w:hAnsi="Arial" w:cs="宋体"/>
                <w:sz w:val="21"/>
                <w:szCs w:val="21"/>
              </w:rPr>
              <w:t>小时</w:t>
            </w:r>
          </w:p>
        </w:tc>
        <w:tc>
          <w:tcPr>
            <w:tcW w:w="3003" w:type="dxa"/>
            <w:tcBorders>
              <w:top w:val="single" w:color="000000" w:sz="4" w:space="0"/>
              <w:left w:val="single" w:color="000000" w:sz="4" w:space="0"/>
              <w:bottom w:val="single" w:color="000000" w:sz="4" w:space="0"/>
              <w:right w:val="single" w:color="000000" w:sz="10" w:space="0"/>
            </w:tcBorders>
          </w:tcPr>
          <w:p>
            <w:pPr>
              <w:pStyle w:val="12"/>
              <w:kinsoku w:val="0"/>
              <w:overflowPunct w:val="0"/>
              <w:spacing w:before="28"/>
              <w:ind w:left="2"/>
              <w:jc w:val="center"/>
            </w:pPr>
            <w:r>
              <w:rPr>
                <w:rFonts w:hint="eastAsia" w:ascii="宋体" w:cs="宋体"/>
                <w:spacing w:val="-1"/>
                <w:sz w:val="21"/>
                <w:szCs w:val="21"/>
              </w:rPr>
              <w:t>新建</w:t>
            </w:r>
          </w:p>
        </w:tc>
      </w:tr>
      <w:tr>
        <w:tblPrEx>
          <w:tblCellMar>
            <w:top w:w="0" w:type="dxa"/>
            <w:left w:w="0" w:type="dxa"/>
            <w:bottom w:w="0" w:type="dxa"/>
            <w:right w:w="0" w:type="dxa"/>
          </w:tblCellMar>
        </w:tblPrEx>
        <w:trPr>
          <w:trHeight w:val="412" w:hRule="exact"/>
        </w:trPr>
        <w:tc>
          <w:tcPr>
            <w:tcW w:w="644" w:type="dxa"/>
            <w:tcBorders>
              <w:top w:val="single" w:color="000000" w:sz="4" w:space="0"/>
              <w:left w:val="single" w:color="000000" w:sz="10" w:space="0"/>
              <w:bottom w:val="single" w:color="000000" w:sz="4" w:space="0"/>
              <w:right w:val="single" w:color="000000" w:sz="4" w:space="0"/>
            </w:tcBorders>
          </w:tcPr>
          <w:p/>
        </w:tc>
        <w:tc>
          <w:tcPr>
            <w:tcW w:w="3459" w:type="dxa"/>
            <w:tcBorders>
              <w:top w:val="single" w:color="000000" w:sz="4" w:space="0"/>
              <w:left w:val="single" w:color="000000" w:sz="4" w:space="0"/>
              <w:bottom w:val="single" w:color="000000" w:sz="4" w:space="0"/>
              <w:right w:val="single" w:color="000000" w:sz="4" w:space="0"/>
            </w:tcBorders>
          </w:tcPr>
          <w:p/>
        </w:tc>
        <w:tc>
          <w:tcPr>
            <w:tcW w:w="1737" w:type="dxa"/>
            <w:tcBorders>
              <w:top w:val="single" w:color="000000" w:sz="4" w:space="0"/>
              <w:left w:val="single" w:color="000000" w:sz="4" w:space="0"/>
              <w:bottom w:val="single" w:color="000000" w:sz="4" w:space="0"/>
              <w:right w:val="single" w:color="000000" w:sz="4" w:space="0"/>
            </w:tcBorders>
          </w:tcPr>
          <w:p/>
        </w:tc>
        <w:tc>
          <w:tcPr>
            <w:tcW w:w="3003" w:type="dxa"/>
            <w:tcBorders>
              <w:top w:val="single" w:color="000000" w:sz="4" w:space="0"/>
              <w:left w:val="single" w:color="000000" w:sz="4" w:space="0"/>
              <w:bottom w:val="single" w:color="000000" w:sz="4" w:space="0"/>
              <w:right w:val="single" w:color="000000" w:sz="10" w:space="0"/>
            </w:tcBorders>
          </w:tcPr>
          <w:p/>
        </w:tc>
      </w:tr>
      <w:tr>
        <w:tblPrEx>
          <w:tblCellMar>
            <w:top w:w="0" w:type="dxa"/>
            <w:left w:w="0" w:type="dxa"/>
            <w:bottom w:w="0" w:type="dxa"/>
            <w:right w:w="0" w:type="dxa"/>
          </w:tblCellMar>
        </w:tblPrEx>
        <w:trPr>
          <w:trHeight w:val="412" w:hRule="exact"/>
        </w:trPr>
        <w:tc>
          <w:tcPr>
            <w:tcW w:w="644" w:type="dxa"/>
            <w:tcBorders>
              <w:top w:val="single" w:color="000000" w:sz="4" w:space="0"/>
              <w:left w:val="single" w:color="000000" w:sz="10" w:space="0"/>
              <w:bottom w:val="single" w:color="000000" w:sz="4" w:space="0"/>
              <w:right w:val="single" w:color="000000" w:sz="4" w:space="0"/>
            </w:tcBorders>
          </w:tcPr>
          <w:p>
            <w:pPr>
              <w:pStyle w:val="12"/>
              <w:kinsoku w:val="0"/>
              <w:overflowPunct w:val="0"/>
              <w:spacing w:before="76"/>
              <w:ind w:right="5"/>
              <w:jc w:val="center"/>
            </w:pPr>
            <w:r>
              <w:rPr>
                <w:rFonts w:ascii="Arial" w:hAnsi="Arial" w:cs="Arial"/>
                <w:b/>
                <w:bCs/>
                <w:sz w:val="21"/>
                <w:szCs w:val="21"/>
              </w:rPr>
              <w:t>2</w:t>
            </w:r>
          </w:p>
        </w:tc>
        <w:tc>
          <w:tcPr>
            <w:tcW w:w="3459" w:type="dxa"/>
            <w:tcBorders>
              <w:top w:val="single" w:color="000000" w:sz="4" w:space="0"/>
              <w:left w:val="single" w:color="000000" w:sz="4" w:space="0"/>
              <w:bottom w:val="single" w:color="000000" w:sz="4" w:space="0"/>
              <w:right w:val="single" w:color="000000" w:sz="4" w:space="0"/>
            </w:tcBorders>
          </w:tcPr>
          <w:p>
            <w:pPr>
              <w:pStyle w:val="12"/>
              <w:kinsoku w:val="0"/>
              <w:overflowPunct w:val="0"/>
              <w:spacing w:before="28"/>
              <w:ind w:left="20"/>
            </w:pPr>
            <w:r>
              <w:rPr>
                <w:rFonts w:hint="eastAsia" w:ascii="宋体" w:cs="宋体"/>
                <w:b/>
                <w:bCs/>
                <w:spacing w:val="1"/>
                <w:sz w:val="21"/>
                <w:szCs w:val="21"/>
              </w:rPr>
              <w:t>总图运输</w:t>
            </w:r>
          </w:p>
        </w:tc>
        <w:tc>
          <w:tcPr>
            <w:tcW w:w="1737" w:type="dxa"/>
            <w:tcBorders>
              <w:top w:val="single" w:color="000000" w:sz="4" w:space="0"/>
              <w:left w:val="single" w:color="000000" w:sz="4" w:space="0"/>
              <w:bottom w:val="single" w:color="000000" w:sz="4" w:space="0"/>
              <w:right w:val="single" w:color="000000" w:sz="4" w:space="0"/>
            </w:tcBorders>
          </w:tcPr>
          <w:p/>
        </w:tc>
        <w:tc>
          <w:tcPr>
            <w:tcW w:w="3003" w:type="dxa"/>
            <w:tcBorders>
              <w:top w:val="single" w:color="000000" w:sz="4" w:space="0"/>
              <w:left w:val="single" w:color="000000" w:sz="4" w:space="0"/>
              <w:bottom w:val="single" w:color="000000" w:sz="4" w:space="0"/>
              <w:right w:val="single" w:color="000000" w:sz="10" w:space="0"/>
            </w:tcBorders>
          </w:tcPr>
          <w:p>
            <w:pPr>
              <w:pStyle w:val="12"/>
              <w:kinsoku w:val="0"/>
              <w:overflowPunct w:val="0"/>
              <w:spacing w:before="28"/>
              <w:ind w:left="442"/>
              <w:rPr>
                <w:lang w:eastAsia="zh-CN"/>
              </w:rPr>
            </w:pPr>
            <w:r>
              <w:rPr>
                <w:rFonts w:hint="eastAsia" w:ascii="宋体" w:cs="宋体"/>
                <w:sz w:val="21"/>
                <w:szCs w:val="21"/>
                <w:lang w:eastAsia="zh-CN"/>
              </w:rPr>
              <w:t>园区内建设，无新征地</w:t>
            </w:r>
          </w:p>
        </w:tc>
      </w:tr>
      <w:tr>
        <w:tblPrEx>
          <w:tblCellMar>
            <w:top w:w="0" w:type="dxa"/>
            <w:left w:w="0" w:type="dxa"/>
            <w:bottom w:w="0" w:type="dxa"/>
            <w:right w:w="0" w:type="dxa"/>
          </w:tblCellMar>
        </w:tblPrEx>
        <w:trPr>
          <w:trHeight w:val="412" w:hRule="exact"/>
        </w:trPr>
        <w:tc>
          <w:tcPr>
            <w:tcW w:w="644" w:type="dxa"/>
            <w:tcBorders>
              <w:top w:val="single" w:color="000000" w:sz="4" w:space="0"/>
              <w:left w:val="single" w:color="000000" w:sz="10" w:space="0"/>
              <w:bottom w:val="single" w:color="000000" w:sz="4" w:space="0"/>
              <w:right w:val="single" w:color="000000" w:sz="4" w:space="0"/>
            </w:tcBorders>
          </w:tcPr>
          <w:p/>
        </w:tc>
        <w:tc>
          <w:tcPr>
            <w:tcW w:w="3459" w:type="dxa"/>
            <w:tcBorders>
              <w:top w:val="single" w:color="000000" w:sz="4" w:space="0"/>
              <w:left w:val="single" w:color="000000" w:sz="4" w:space="0"/>
              <w:bottom w:val="single" w:color="000000" w:sz="4" w:space="0"/>
              <w:right w:val="single" w:color="000000" w:sz="4" w:space="0"/>
            </w:tcBorders>
          </w:tcPr>
          <w:p/>
        </w:tc>
        <w:tc>
          <w:tcPr>
            <w:tcW w:w="1737" w:type="dxa"/>
            <w:tcBorders>
              <w:top w:val="single" w:color="000000" w:sz="4" w:space="0"/>
              <w:left w:val="single" w:color="000000" w:sz="4" w:space="0"/>
              <w:bottom w:val="single" w:color="000000" w:sz="4" w:space="0"/>
              <w:right w:val="single" w:color="000000" w:sz="4" w:space="0"/>
            </w:tcBorders>
          </w:tcPr>
          <w:p/>
        </w:tc>
        <w:tc>
          <w:tcPr>
            <w:tcW w:w="3003" w:type="dxa"/>
            <w:tcBorders>
              <w:top w:val="single" w:color="000000" w:sz="4" w:space="0"/>
              <w:left w:val="single" w:color="000000" w:sz="4" w:space="0"/>
              <w:bottom w:val="single" w:color="000000" w:sz="4" w:space="0"/>
              <w:right w:val="single" w:color="000000" w:sz="10" w:space="0"/>
            </w:tcBorders>
          </w:tcPr>
          <w:p/>
        </w:tc>
      </w:tr>
      <w:tr>
        <w:tblPrEx>
          <w:tblCellMar>
            <w:top w:w="0" w:type="dxa"/>
            <w:left w:w="0" w:type="dxa"/>
            <w:bottom w:w="0" w:type="dxa"/>
            <w:right w:w="0" w:type="dxa"/>
          </w:tblCellMar>
        </w:tblPrEx>
        <w:trPr>
          <w:trHeight w:val="412" w:hRule="exact"/>
        </w:trPr>
        <w:tc>
          <w:tcPr>
            <w:tcW w:w="644" w:type="dxa"/>
            <w:tcBorders>
              <w:top w:val="single" w:color="000000" w:sz="4" w:space="0"/>
              <w:left w:val="single" w:color="000000" w:sz="10" w:space="0"/>
              <w:bottom w:val="single" w:color="000000" w:sz="4" w:space="0"/>
              <w:right w:val="single" w:color="000000" w:sz="4" w:space="0"/>
            </w:tcBorders>
          </w:tcPr>
          <w:p>
            <w:pPr>
              <w:pStyle w:val="12"/>
              <w:kinsoku w:val="0"/>
              <w:overflowPunct w:val="0"/>
              <w:spacing w:before="75"/>
              <w:ind w:right="5"/>
              <w:jc w:val="center"/>
            </w:pPr>
            <w:r>
              <w:rPr>
                <w:rFonts w:ascii="Arial" w:hAnsi="Arial" w:cs="Arial"/>
                <w:b/>
                <w:bCs/>
                <w:sz w:val="21"/>
                <w:szCs w:val="21"/>
              </w:rPr>
              <w:t>3</w:t>
            </w:r>
          </w:p>
        </w:tc>
        <w:tc>
          <w:tcPr>
            <w:tcW w:w="3459" w:type="dxa"/>
            <w:tcBorders>
              <w:top w:val="single" w:color="000000" w:sz="4" w:space="0"/>
              <w:left w:val="single" w:color="000000" w:sz="4" w:space="0"/>
              <w:bottom w:val="single" w:color="000000" w:sz="4" w:space="0"/>
              <w:right w:val="single" w:color="000000" w:sz="4" w:space="0"/>
            </w:tcBorders>
          </w:tcPr>
          <w:p>
            <w:pPr>
              <w:pStyle w:val="12"/>
              <w:kinsoku w:val="0"/>
              <w:overflowPunct w:val="0"/>
              <w:spacing w:before="27"/>
              <w:ind w:left="20"/>
            </w:pPr>
            <w:r>
              <w:rPr>
                <w:rFonts w:hint="eastAsia" w:ascii="宋体" w:cs="宋体"/>
                <w:b/>
                <w:bCs/>
                <w:spacing w:val="1"/>
                <w:sz w:val="21"/>
                <w:szCs w:val="21"/>
              </w:rPr>
              <w:t>油品储运</w:t>
            </w:r>
          </w:p>
        </w:tc>
        <w:tc>
          <w:tcPr>
            <w:tcW w:w="1737" w:type="dxa"/>
            <w:tcBorders>
              <w:top w:val="single" w:color="000000" w:sz="4" w:space="0"/>
              <w:left w:val="single" w:color="000000" w:sz="4" w:space="0"/>
              <w:bottom w:val="single" w:color="000000" w:sz="4" w:space="0"/>
              <w:right w:val="single" w:color="000000" w:sz="4" w:space="0"/>
            </w:tcBorders>
          </w:tcPr>
          <w:p/>
        </w:tc>
        <w:tc>
          <w:tcPr>
            <w:tcW w:w="3003" w:type="dxa"/>
            <w:tcBorders>
              <w:top w:val="single" w:color="000000" w:sz="4" w:space="0"/>
              <w:left w:val="single" w:color="000000" w:sz="4" w:space="0"/>
              <w:bottom w:val="single" w:color="000000" w:sz="4" w:space="0"/>
              <w:right w:val="single" w:color="000000" w:sz="10" w:space="0"/>
            </w:tcBorders>
          </w:tcPr>
          <w:p>
            <w:pPr>
              <w:pStyle w:val="12"/>
              <w:kinsoku w:val="0"/>
              <w:overflowPunct w:val="0"/>
              <w:spacing w:before="27"/>
              <w:ind w:left="80"/>
              <w:rPr>
                <w:lang w:eastAsia="zh-CN"/>
              </w:rPr>
            </w:pPr>
            <w:r>
              <w:rPr>
                <w:rFonts w:hint="eastAsia" w:ascii="宋体" w:cs="宋体"/>
                <w:sz w:val="21"/>
                <w:szCs w:val="21"/>
                <w:lang w:eastAsia="zh-CN"/>
              </w:rPr>
              <w:t>核算外购</w:t>
            </w:r>
            <w:r>
              <w:rPr>
                <w:rFonts w:ascii="宋体" w:cs="宋体"/>
                <w:spacing w:val="-64"/>
                <w:sz w:val="21"/>
                <w:szCs w:val="21"/>
                <w:lang w:eastAsia="zh-CN"/>
              </w:rPr>
              <w:t xml:space="preserve"> </w:t>
            </w:r>
            <w:r>
              <w:rPr>
                <w:rFonts w:ascii="Arial" w:hAnsi="Arial" w:cs="Arial"/>
                <w:spacing w:val="-1"/>
                <w:sz w:val="21"/>
                <w:szCs w:val="21"/>
                <w:lang w:eastAsia="zh-CN"/>
              </w:rPr>
              <w:t>C8A</w:t>
            </w:r>
            <w:r>
              <w:rPr>
                <w:rFonts w:ascii="Arial" w:hAnsi="Arial" w:cs="Arial"/>
                <w:spacing w:val="-18"/>
                <w:sz w:val="21"/>
                <w:szCs w:val="21"/>
                <w:lang w:eastAsia="zh-CN"/>
              </w:rPr>
              <w:t xml:space="preserve"> </w:t>
            </w:r>
            <w:r>
              <w:rPr>
                <w:rFonts w:hint="eastAsia" w:ascii="宋体" w:hAnsi="Arial" w:cs="宋体"/>
                <w:sz w:val="21"/>
                <w:szCs w:val="21"/>
                <w:lang w:eastAsia="zh-CN"/>
              </w:rPr>
              <w:t>罐区，中间罐区</w:t>
            </w:r>
          </w:p>
        </w:tc>
      </w:tr>
      <w:tr>
        <w:tblPrEx>
          <w:tblCellMar>
            <w:top w:w="0" w:type="dxa"/>
            <w:left w:w="0" w:type="dxa"/>
            <w:bottom w:w="0" w:type="dxa"/>
            <w:right w:w="0" w:type="dxa"/>
          </w:tblCellMar>
        </w:tblPrEx>
        <w:trPr>
          <w:trHeight w:val="412" w:hRule="exact"/>
        </w:trPr>
        <w:tc>
          <w:tcPr>
            <w:tcW w:w="644" w:type="dxa"/>
            <w:tcBorders>
              <w:top w:val="single" w:color="000000" w:sz="4" w:space="0"/>
              <w:left w:val="single" w:color="000000" w:sz="10" w:space="0"/>
              <w:bottom w:val="single" w:color="000000" w:sz="4" w:space="0"/>
              <w:right w:val="single" w:color="000000" w:sz="4" w:space="0"/>
            </w:tcBorders>
          </w:tcPr>
          <w:p>
            <w:pPr>
              <w:pStyle w:val="12"/>
              <w:kinsoku w:val="0"/>
              <w:overflowPunct w:val="0"/>
              <w:spacing w:before="76"/>
              <w:ind w:left="160"/>
            </w:pPr>
            <w:r>
              <w:rPr>
                <w:rFonts w:ascii="Arial" w:hAnsi="Arial" w:cs="Arial"/>
                <w:spacing w:val="-1"/>
                <w:sz w:val="21"/>
                <w:szCs w:val="21"/>
              </w:rPr>
              <w:t>3.1</w:t>
            </w:r>
          </w:p>
        </w:tc>
        <w:tc>
          <w:tcPr>
            <w:tcW w:w="3459" w:type="dxa"/>
            <w:tcBorders>
              <w:top w:val="single" w:color="000000" w:sz="4" w:space="0"/>
              <w:left w:val="single" w:color="000000" w:sz="4" w:space="0"/>
              <w:bottom w:val="single" w:color="000000" w:sz="4" w:space="0"/>
              <w:right w:val="single" w:color="000000" w:sz="4" w:space="0"/>
            </w:tcBorders>
          </w:tcPr>
          <w:p>
            <w:pPr>
              <w:pStyle w:val="12"/>
              <w:kinsoku w:val="0"/>
              <w:overflowPunct w:val="0"/>
              <w:spacing w:before="28"/>
              <w:ind w:left="20"/>
              <w:rPr>
                <w:lang w:eastAsia="zh-CN"/>
              </w:rPr>
            </w:pPr>
            <w:r>
              <w:rPr>
                <w:rFonts w:hint="eastAsia" w:ascii="宋体" w:cs="宋体"/>
                <w:sz w:val="21"/>
                <w:szCs w:val="21"/>
                <w:lang w:eastAsia="zh-CN"/>
              </w:rPr>
              <w:t>工艺及热力管网改造（厂内）</w:t>
            </w:r>
          </w:p>
        </w:tc>
        <w:tc>
          <w:tcPr>
            <w:tcW w:w="1737" w:type="dxa"/>
            <w:tcBorders>
              <w:top w:val="single" w:color="000000" w:sz="4" w:space="0"/>
              <w:left w:val="single" w:color="000000" w:sz="4" w:space="0"/>
              <w:bottom w:val="single" w:color="000000" w:sz="4" w:space="0"/>
              <w:right w:val="single" w:color="000000" w:sz="4" w:space="0"/>
            </w:tcBorders>
          </w:tcPr>
          <w:p/>
        </w:tc>
        <w:tc>
          <w:tcPr>
            <w:tcW w:w="3003" w:type="dxa"/>
            <w:tcBorders>
              <w:top w:val="single" w:color="000000" w:sz="4" w:space="0"/>
              <w:left w:val="single" w:color="000000" w:sz="4" w:space="0"/>
              <w:bottom w:val="single" w:color="000000" w:sz="4" w:space="0"/>
              <w:right w:val="single" w:color="000000" w:sz="10" w:space="0"/>
            </w:tcBorders>
          </w:tcPr>
          <w:p>
            <w:pPr>
              <w:pStyle w:val="12"/>
              <w:kinsoku w:val="0"/>
              <w:overflowPunct w:val="0"/>
              <w:spacing w:before="28"/>
              <w:ind w:left="862"/>
            </w:pPr>
            <w:r>
              <w:rPr>
                <w:rFonts w:hint="eastAsia" w:ascii="宋体" w:cs="宋体"/>
                <w:sz w:val="21"/>
                <w:szCs w:val="21"/>
              </w:rPr>
              <w:t>适应性改扩建</w:t>
            </w:r>
          </w:p>
        </w:tc>
      </w:tr>
      <w:tr>
        <w:tblPrEx>
          <w:tblCellMar>
            <w:top w:w="0" w:type="dxa"/>
            <w:left w:w="0" w:type="dxa"/>
            <w:bottom w:w="0" w:type="dxa"/>
            <w:right w:w="0" w:type="dxa"/>
          </w:tblCellMar>
        </w:tblPrEx>
        <w:trPr>
          <w:trHeight w:val="412" w:hRule="exact"/>
        </w:trPr>
        <w:tc>
          <w:tcPr>
            <w:tcW w:w="644" w:type="dxa"/>
            <w:tcBorders>
              <w:top w:val="single" w:color="000000" w:sz="4" w:space="0"/>
              <w:left w:val="single" w:color="000000" w:sz="10" w:space="0"/>
              <w:bottom w:val="single" w:color="000000" w:sz="4" w:space="0"/>
              <w:right w:val="single" w:color="000000" w:sz="4" w:space="0"/>
            </w:tcBorders>
          </w:tcPr>
          <w:p>
            <w:pPr>
              <w:pStyle w:val="12"/>
              <w:kinsoku w:val="0"/>
              <w:overflowPunct w:val="0"/>
              <w:spacing w:before="77"/>
              <w:ind w:left="160"/>
            </w:pPr>
            <w:r>
              <w:rPr>
                <w:rFonts w:ascii="Arial" w:hAnsi="Arial" w:cs="Arial"/>
                <w:spacing w:val="-1"/>
                <w:sz w:val="21"/>
                <w:szCs w:val="21"/>
              </w:rPr>
              <w:t>3.2</w:t>
            </w:r>
          </w:p>
        </w:tc>
        <w:tc>
          <w:tcPr>
            <w:tcW w:w="3459" w:type="dxa"/>
            <w:tcBorders>
              <w:top w:val="single" w:color="000000" w:sz="4" w:space="0"/>
              <w:left w:val="single" w:color="000000" w:sz="4" w:space="0"/>
              <w:bottom w:val="single" w:color="000000" w:sz="4" w:space="0"/>
              <w:right w:val="single" w:color="000000" w:sz="4" w:space="0"/>
            </w:tcBorders>
          </w:tcPr>
          <w:p>
            <w:pPr>
              <w:pStyle w:val="12"/>
              <w:kinsoku w:val="0"/>
              <w:overflowPunct w:val="0"/>
              <w:spacing w:before="28"/>
              <w:ind w:left="20"/>
            </w:pPr>
            <w:r>
              <w:rPr>
                <w:rFonts w:hint="eastAsia" w:ascii="宋体" w:cs="宋体"/>
                <w:sz w:val="21"/>
                <w:szCs w:val="21"/>
              </w:rPr>
              <w:t>其他储运系统</w:t>
            </w:r>
          </w:p>
        </w:tc>
        <w:tc>
          <w:tcPr>
            <w:tcW w:w="1737" w:type="dxa"/>
            <w:tcBorders>
              <w:top w:val="single" w:color="000000" w:sz="4" w:space="0"/>
              <w:left w:val="single" w:color="000000" w:sz="4" w:space="0"/>
              <w:bottom w:val="single" w:color="000000" w:sz="4" w:space="0"/>
              <w:right w:val="single" w:color="000000" w:sz="4" w:space="0"/>
            </w:tcBorders>
          </w:tcPr>
          <w:p/>
        </w:tc>
        <w:tc>
          <w:tcPr>
            <w:tcW w:w="3003" w:type="dxa"/>
            <w:tcBorders>
              <w:top w:val="single" w:color="000000" w:sz="4" w:space="0"/>
              <w:left w:val="single" w:color="000000" w:sz="4" w:space="0"/>
              <w:bottom w:val="single" w:color="000000" w:sz="4" w:space="0"/>
              <w:right w:val="single" w:color="000000" w:sz="10" w:space="0"/>
            </w:tcBorders>
          </w:tcPr>
          <w:p>
            <w:pPr>
              <w:pStyle w:val="12"/>
              <w:kinsoku w:val="0"/>
              <w:overflowPunct w:val="0"/>
              <w:spacing w:before="28"/>
              <w:ind w:left="2"/>
              <w:jc w:val="center"/>
            </w:pPr>
            <w:r>
              <w:rPr>
                <w:rFonts w:hint="eastAsia" w:ascii="宋体" w:cs="宋体"/>
                <w:spacing w:val="-1"/>
                <w:sz w:val="21"/>
                <w:szCs w:val="21"/>
              </w:rPr>
              <w:t>依托</w:t>
            </w:r>
          </w:p>
        </w:tc>
      </w:tr>
      <w:tr>
        <w:tblPrEx>
          <w:tblCellMar>
            <w:top w:w="0" w:type="dxa"/>
            <w:left w:w="0" w:type="dxa"/>
            <w:bottom w:w="0" w:type="dxa"/>
            <w:right w:w="0" w:type="dxa"/>
          </w:tblCellMar>
        </w:tblPrEx>
        <w:trPr>
          <w:trHeight w:val="412" w:hRule="exact"/>
        </w:trPr>
        <w:tc>
          <w:tcPr>
            <w:tcW w:w="644" w:type="dxa"/>
            <w:tcBorders>
              <w:top w:val="single" w:color="000000" w:sz="4" w:space="0"/>
              <w:left w:val="single" w:color="000000" w:sz="10" w:space="0"/>
              <w:bottom w:val="single" w:color="000000" w:sz="4" w:space="0"/>
              <w:right w:val="single" w:color="000000" w:sz="4" w:space="0"/>
            </w:tcBorders>
          </w:tcPr>
          <w:p/>
        </w:tc>
        <w:tc>
          <w:tcPr>
            <w:tcW w:w="3459" w:type="dxa"/>
            <w:tcBorders>
              <w:top w:val="single" w:color="000000" w:sz="4" w:space="0"/>
              <w:left w:val="single" w:color="000000" w:sz="4" w:space="0"/>
              <w:bottom w:val="single" w:color="000000" w:sz="4" w:space="0"/>
              <w:right w:val="single" w:color="000000" w:sz="4" w:space="0"/>
            </w:tcBorders>
          </w:tcPr>
          <w:p/>
        </w:tc>
        <w:tc>
          <w:tcPr>
            <w:tcW w:w="1737" w:type="dxa"/>
            <w:tcBorders>
              <w:top w:val="single" w:color="000000" w:sz="4" w:space="0"/>
              <w:left w:val="single" w:color="000000" w:sz="4" w:space="0"/>
              <w:bottom w:val="single" w:color="000000" w:sz="4" w:space="0"/>
              <w:right w:val="single" w:color="000000" w:sz="4" w:space="0"/>
            </w:tcBorders>
          </w:tcPr>
          <w:p/>
        </w:tc>
        <w:tc>
          <w:tcPr>
            <w:tcW w:w="3003" w:type="dxa"/>
            <w:tcBorders>
              <w:top w:val="single" w:color="000000" w:sz="4" w:space="0"/>
              <w:left w:val="single" w:color="000000" w:sz="4" w:space="0"/>
              <w:bottom w:val="single" w:color="000000" w:sz="4" w:space="0"/>
              <w:right w:val="single" w:color="000000" w:sz="10" w:space="0"/>
            </w:tcBorders>
          </w:tcPr>
          <w:p/>
        </w:tc>
      </w:tr>
      <w:tr>
        <w:tblPrEx>
          <w:tblCellMar>
            <w:top w:w="0" w:type="dxa"/>
            <w:left w:w="0" w:type="dxa"/>
            <w:bottom w:w="0" w:type="dxa"/>
            <w:right w:w="0" w:type="dxa"/>
          </w:tblCellMar>
        </w:tblPrEx>
        <w:trPr>
          <w:trHeight w:val="412" w:hRule="exact"/>
        </w:trPr>
        <w:tc>
          <w:tcPr>
            <w:tcW w:w="644" w:type="dxa"/>
            <w:tcBorders>
              <w:top w:val="single" w:color="000000" w:sz="4" w:space="0"/>
              <w:left w:val="single" w:color="000000" w:sz="10" w:space="0"/>
              <w:bottom w:val="single" w:color="000000" w:sz="4" w:space="0"/>
              <w:right w:val="single" w:color="000000" w:sz="4" w:space="0"/>
            </w:tcBorders>
          </w:tcPr>
          <w:p>
            <w:pPr>
              <w:pStyle w:val="12"/>
              <w:kinsoku w:val="0"/>
              <w:overflowPunct w:val="0"/>
              <w:spacing w:before="76"/>
              <w:ind w:right="5"/>
              <w:jc w:val="center"/>
            </w:pPr>
            <w:r>
              <w:rPr>
                <w:rFonts w:ascii="Arial" w:hAnsi="Arial" w:cs="Arial"/>
                <w:b/>
                <w:bCs/>
                <w:sz w:val="21"/>
                <w:szCs w:val="21"/>
              </w:rPr>
              <w:t>4</w:t>
            </w:r>
          </w:p>
        </w:tc>
        <w:tc>
          <w:tcPr>
            <w:tcW w:w="3459" w:type="dxa"/>
            <w:tcBorders>
              <w:top w:val="single" w:color="000000" w:sz="4" w:space="0"/>
              <w:left w:val="single" w:color="000000" w:sz="4" w:space="0"/>
              <w:bottom w:val="single" w:color="000000" w:sz="4" w:space="0"/>
              <w:right w:val="single" w:color="000000" w:sz="4" w:space="0"/>
            </w:tcBorders>
          </w:tcPr>
          <w:p>
            <w:pPr>
              <w:pStyle w:val="12"/>
              <w:kinsoku w:val="0"/>
              <w:overflowPunct w:val="0"/>
              <w:spacing w:before="28"/>
              <w:ind w:left="20"/>
            </w:pPr>
            <w:r>
              <w:rPr>
                <w:rFonts w:hint="eastAsia" w:ascii="宋体" w:cs="宋体"/>
                <w:b/>
                <w:bCs/>
                <w:spacing w:val="1"/>
                <w:sz w:val="21"/>
                <w:szCs w:val="21"/>
              </w:rPr>
              <w:t>给排水</w:t>
            </w:r>
          </w:p>
        </w:tc>
        <w:tc>
          <w:tcPr>
            <w:tcW w:w="1737" w:type="dxa"/>
            <w:tcBorders>
              <w:top w:val="single" w:color="000000" w:sz="4" w:space="0"/>
              <w:left w:val="single" w:color="000000" w:sz="4" w:space="0"/>
              <w:bottom w:val="single" w:color="000000" w:sz="4" w:space="0"/>
              <w:right w:val="single" w:color="000000" w:sz="4" w:space="0"/>
            </w:tcBorders>
          </w:tcPr>
          <w:p/>
        </w:tc>
        <w:tc>
          <w:tcPr>
            <w:tcW w:w="3003" w:type="dxa"/>
            <w:tcBorders>
              <w:top w:val="single" w:color="000000" w:sz="4" w:space="0"/>
              <w:left w:val="single" w:color="000000" w:sz="4" w:space="0"/>
              <w:bottom w:val="single" w:color="000000" w:sz="4" w:space="0"/>
              <w:right w:val="single" w:color="000000" w:sz="10" w:space="0"/>
            </w:tcBorders>
          </w:tcPr>
          <w:p/>
        </w:tc>
      </w:tr>
      <w:tr>
        <w:tblPrEx>
          <w:tblCellMar>
            <w:top w:w="0" w:type="dxa"/>
            <w:left w:w="0" w:type="dxa"/>
            <w:bottom w:w="0" w:type="dxa"/>
            <w:right w:w="0" w:type="dxa"/>
          </w:tblCellMar>
        </w:tblPrEx>
        <w:trPr>
          <w:trHeight w:val="412" w:hRule="exact"/>
        </w:trPr>
        <w:tc>
          <w:tcPr>
            <w:tcW w:w="644" w:type="dxa"/>
            <w:tcBorders>
              <w:top w:val="single" w:color="000000" w:sz="4" w:space="0"/>
              <w:left w:val="single" w:color="000000" w:sz="10" w:space="0"/>
              <w:bottom w:val="single" w:color="000000" w:sz="4" w:space="0"/>
              <w:right w:val="single" w:color="000000" w:sz="4" w:space="0"/>
            </w:tcBorders>
          </w:tcPr>
          <w:p>
            <w:pPr>
              <w:pStyle w:val="12"/>
              <w:kinsoku w:val="0"/>
              <w:overflowPunct w:val="0"/>
              <w:spacing w:before="76"/>
              <w:ind w:right="5"/>
              <w:jc w:val="center"/>
              <w:rPr>
                <w:rFonts w:ascii="Arial" w:hAnsi="Arial" w:cs="Arial"/>
                <w:b/>
                <w:bCs/>
                <w:sz w:val="21"/>
                <w:szCs w:val="21"/>
              </w:rPr>
            </w:pPr>
          </w:p>
        </w:tc>
        <w:tc>
          <w:tcPr>
            <w:tcW w:w="3459" w:type="dxa"/>
            <w:tcBorders>
              <w:top w:val="single" w:color="000000" w:sz="4" w:space="0"/>
              <w:left w:val="single" w:color="000000" w:sz="4" w:space="0"/>
              <w:bottom w:val="single" w:color="000000" w:sz="4" w:space="0"/>
              <w:right w:val="single" w:color="000000" w:sz="4" w:space="0"/>
            </w:tcBorders>
          </w:tcPr>
          <w:p>
            <w:pPr>
              <w:pStyle w:val="12"/>
              <w:kinsoku w:val="0"/>
              <w:overflowPunct w:val="0"/>
              <w:spacing w:before="28"/>
              <w:ind w:left="20"/>
              <w:rPr>
                <w:rFonts w:ascii="宋体" w:cs="宋体"/>
                <w:b/>
                <w:bCs/>
                <w:spacing w:val="1"/>
                <w:sz w:val="21"/>
                <w:szCs w:val="21"/>
              </w:rPr>
            </w:pPr>
          </w:p>
        </w:tc>
        <w:tc>
          <w:tcPr>
            <w:tcW w:w="1737" w:type="dxa"/>
            <w:tcBorders>
              <w:top w:val="single" w:color="000000" w:sz="4" w:space="0"/>
              <w:left w:val="single" w:color="000000" w:sz="4" w:space="0"/>
              <w:bottom w:val="single" w:color="000000" w:sz="4" w:space="0"/>
              <w:right w:val="single" w:color="000000" w:sz="4" w:space="0"/>
            </w:tcBorders>
          </w:tcPr>
          <w:p/>
        </w:tc>
        <w:tc>
          <w:tcPr>
            <w:tcW w:w="3003" w:type="dxa"/>
            <w:tcBorders>
              <w:top w:val="single" w:color="000000" w:sz="4" w:space="0"/>
              <w:left w:val="single" w:color="000000" w:sz="4" w:space="0"/>
              <w:bottom w:val="single" w:color="000000" w:sz="4" w:space="0"/>
              <w:right w:val="single" w:color="000000" w:sz="10" w:space="0"/>
            </w:tcBorders>
          </w:tcPr>
          <w:p/>
        </w:tc>
      </w:tr>
      <w:tr>
        <w:tblPrEx>
          <w:tblCellMar>
            <w:top w:w="0" w:type="dxa"/>
            <w:left w:w="0" w:type="dxa"/>
            <w:bottom w:w="0" w:type="dxa"/>
            <w:right w:w="0" w:type="dxa"/>
          </w:tblCellMar>
        </w:tblPrEx>
        <w:trPr>
          <w:trHeight w:val="1183" w:hRule="exact"/>
        </w:trPr>
        <w:tc>
          <w:tcPr>
            <w:tcW w:w="644" w:type="dxa"/>
            <w:tcBorders>
              <w:top w:val="single" w:color="000000" w:sz="4" w:space="0"/>
              <w:left w:val="single" w:color="000000" w:sz="10" w:space="0"/>
              <w:bottom w:val="single" w:color="000000" w:sz="4" w:space="0"/>
              <w:right w:val="single" w:color="000000" w:sz="4" w:space="0"/>
            </w:tcBorders>
          </w:tcPr>
          <w:p>
            <w:pPr>
              <w:pStyle w:val="12"/>
              <w:kinsoku w:val="0"/>
              <w:overflowPunct w:val="0"/>
              <w:rPr>
                <w:rFonts w:ascii="宋体" w:cs="宋体"/>
                <w:sz w:val="20"/>
                <w:szCs w:val="20"/>
              </w:rPr>
            </w:pPr>
          </w:p>
          <w:p>
            <w:pPr>
              <w:pStyle w:val="12"/>
              <w:kinsoku w:val="0"/>
              <w:overflowPunct w:val="0"/>
              <w:spacing w:before="8"/>
              <w:rPr>
                <w:rFonts w:ascii="宋体" w:cs="宋体"/>
                <w:sz w:val="19"/>
                <w:szCs w:val="19"/>
              </w:rPr>
            </w:pPr>
          </w:p>
          <w:p>
            <w:pPr>
              <w:pStyle w:val="12"/>
              <w:kinsoku w:val="0"/>
              <w:overflowPunct w:val="0"/>
              <w:ind w:left="160"/>
            </w:pPr>
            <w:r>
              <w:rPr>
                <w:rFonts w:ascii="Arial" w:hAnsi="Arial" w:cs="Arial"/>
                <w:spacing w:val="-1"/>
                <w:sz w:val="21"/>
                <w:szCs w:val="21"/>
              </w:rPr>
              <w:t>4.1</w:t>
            </w:r>
          </w:p>
        </w:tc>
        <w:tc>
          <w:tcPr>
            <w:tcW w:w="3459"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宋体" w:cs="宋体"/>
                <w:sz w:val="20"/>
                <w:szCs w:val="20"/>
              </w:rPr>
            </w:pPr>
          </w:p>
          <w:p>
            <w:pPr>
              <w:pStyle w:val="12"/>
              <w:kinsoku w:val="0"/>
              <w:overflowPunct w:val="0"/>
              <w:spacing w:before="12"/>
              <w:rPr>
                <w:rFonts w:ascii="宋体" w:cs="宋体"/>
                <w:sz w:val="15"/>
                <w:szCs w:val="15"/>
              </w:rPr>
            </w:pPr>
          </w:p>
          <w:p>
            <w:pPr>
              <w:pStyle w:val="12"/>
              <w:kinsoku w:val="0"/>
              <w:overflowPunct w:val="0"/>
              <w:ind w:left="20"/>
            </w:pPr>
            <w:r>
              <w:rPr>
                <w:rFonts w:hint="eastAsia" w:ascii="宋体" w:cs="宋体"/>
                <w:sz w:val="21"/>
                <w:szCs w:val="21"/>
              </w:rPr>
              <w:t>污水提升泵站</w:t>
            </w:r>
          </w:p>
        </w:tc>
        <w:tc>
          <w:tcPr>
            <w:tcW w:w="1737" w:type="dxa"/>
            <w:tcBorders>
              <w:top w:val="single" w:color="000000" w:sz="4" w:space="0"/>
              <w:left w:val="single" w:color="000000" w:sz="4" w:space="0"/>
              <w:bottom w:val="single" w:color="000000" w:sz="4" w:space="0"/>
              <w:right w:val="single" w:color="000000" w:sz="4" w:space="0"/>
            </w:tcBorders>
          </w:tcPr>
          <w:p>
            <w:pPr>
              <w:pStyle w:val="12"/>
              <w:kinsoku w:val="0"/>
              <w:overflowPunct w:val="0"/>
              <w:rPr>
                <w:rFonts w:ascii="宋体" w:cs="宋体"/>
              </w:rPr>
            </w:pPr>
          </w:p>
          <w:p>
            <w:pPr>
              <w:pStyle w:val="12"/>
              <w:kinsoku w:val="0"/>
              <w:overflowPunct w:val="0"/>
              <w:spacing w:before="182"/>
              <w:jc w:val="center"/>
            </w:pPr>
            <w:r>
              <w:rPr>
                <w:rFonts w:ascii="Arial" w:hAnsi="Arial" w:cs="Arial"/>
                <w:sz w:val="21"/>
                <w:szCs w:val="21"/>
              </w:rPr>
              <w:t>1</w:t>
            </w:r>
            <w:r>
              <w:rPr>
                <w:rFonts w:ascii="Arial" w:hAnsi="Arial" w:cs="Arial"/>
                <w:spacing w:val="-11"/>
                <w:sz w:val="21"/>
                <w:szCs w:val="21"/>
              </w:rPr>
              <w:t xml:space="preserve"> </w:t>
            </w:r>
            <w:r>
              <w:rPr>
                <w:rFonts w:hint="eastAsia" w:ascii="宋体" w:hAnsi="Arial" w:cs="宋体"/>
                <w:sz w:val="21"/>
                <w:szCs w:val="21"/>
              </w:rPr>
              <w:t>座</w:t>
            </w:r>
          </w:p>
        </w:tc>
        <w:tc>
          <w:tcPr>
            <w:tcW w:w="3003" w:type="dxa"/>
            <w:tcBorders>
              <w:top w:val="single" w:color="000000" w:sz="4" w:space="0"/>
              <w:left w:val="single" w:color="000000" w:sz="4" w:space="0"/>
              <w:bottom w:val="single" w:color="000000" w:sz="4" w:space="0"/>
              <w:right w:val="single" w:color="000000" w:sz="10" w:space="0"/>
            </w:tcBorders>
          </w:tcPr>
          <w:p>
            <w:pPr>
              <w:pStyle w:val="12"/>
              <w:kinsoku w:val="0"/>
              <w:overflowPunct w:val="0"/>
              <w:spacing w:line="272" w:lineRule="exact"/>
              <w:ind w:left="20" w:right="13"/>
              <w:jc w:val="both"/>
              <w:rPr>
                <w:lang w:eastAsia="zh-CN"/>
              </w:rPr>
            </w:pPr>
            <w:r>
              <w:rPr>
                <w:rFonts w:ascii="Arial" w:hAnsi="Arial" w:cs="Arial"/>
                <w:sz w:val="21"/>
                <w:szCs w:val="21"/>
                <w:lang w:eastAsia="zh-CN"/>
              </w:rPr>
              <w:t>2#PSA</w:t>
            </w:r>
            <w:r>
              <w:rPr>
                <w:rFonts w:ascii="Arial" w:hAnsi="Arial" w:cs="Arial"/>
                <w:spacing w:val="-13"/>
                <w:sz w:val="21"/>
                <w:szCs w:val="21"/>
                <w:lang w:eastAsia="zh-CN"/>
              </w:rPr>
              <w:t xml:space="preserve"> </w:t>
            </w:r>
            <w:r>
              <w:rPr>
                <w:rFonts w:hint="eastAsia" w:ascii="宋体" w:hAnsi="Arial" w:cs="宋体"/>
                <w:spacing w:val="13"/>
                <w:sz w:val="21"/>
                <w:szCs w:val="21"/>
                <w:lang w:eastAsia="zh-CN"/>
              </w:rPr>
              <w:t>装置各设置一套污水提</w:t>
            </w:r>
            <w:r>
              <w:rPr>
                <w:rFonts w:ascii="宋体" w:hAnsi="Arial" w:cs="宋体"/>
                <w:spacing w:val="24"/>
                <w:w w:val="99"/>
                <w:sz w:val="21"/>
                <w:szCs w:val="21"/>
                <w:lang w:eastAsia="zh-CN"/>
              </w:rPr>
              <w:t xml:space="preserve"> </w:t>
            </w:r>
            <w:r>
              <w:rPr>
                <w:rFonts w:hint="eastAsia" w:ascii="宋体" w:hAnsi="Arial" w:cs="宋体"/>
                <w:spacing w:val="1"/>
                <w:w w:val="95"/>
                <w:sz w:val="21"/>
                <w:szCs w:val="21"/>
                <w:lang w:eastAsia="zh-CN"/>
              </w:rPr>
              <w:t>升</w:t>
            </w:r>
            <w:r>
              <w:rPr>
                <w:rFonts w:hint="eastAsia" w:ascii="宋体" w:hAnsi="Arial" w:cs="宋体"/>
                <w:spacing w:val="-1"/>
                <w:w w:val="95"/>
                <w:sz w:val="21"/>
                <w:szCs w:val="21"/>
                <w:lang w:eastAsia="zh-CN"/>
              </w:rPr>
              <w:t>泵</w:t>
            </w:r>
            <w:r>
              <w:rPr>
                <w:rFonts w:hint="eastAsia" w:ascii="宋体" w:hAnsi="Arial" w:cs="宋体"/>
                <w:spacing w:val="1"/>
                <w:w w:val="95"/>
                <w:sz w:val="21"/>
                <w:szCs w:val="21"/>
                <w:lang w:eastAsia="zh-CN"/>
              </w:rPr>
              <w:t>站，污</w:t>
            </w:r>
            <w:r>
              <w:rPr>
                <w:rFonts w:hint="eastAsia" w:ascii="宋体" w:hAnsi="Arial" w:cs="宋体"/>
                <w:spacing w:val="-1"/>
                <w:w w:val="95"/>
                <w:sz w:val="21"/>
                <w:szCs w:val="21"/>
                <w:lang w:eastAsia="zh-CN"/>
              </w:rPr>
              <w:t>水</w:t>
            </w:r>
            <w:r>
              <w:rPr>
                <w:rFonts w:hint="eastAsia" w:ascii="宋体" w:hAnsi="Arial" w:cs="宋体"/>
                <w:spacing w:val="1"/>
                <w:w w:val="95"/>
                <w:sz w:val="21"/>
                <w:szCs w:val="21"/>
                <w:lang w:eastAsia="zh-CN"/>
              </w:rPr>
              <w:t>提升泵</w:t>
            </w:r>
            <w:r>
              <w:rPr>
                <w:rFonts w:hint="eastAsia" w:ascii="宋体" w:hAnsi="Arial" w:cs="宋体"/>
                <w:spacing w:val="-1"/>
                <w:w w:val="95"/>
                <w:sz w:val="21"/>
                <w:szCs w:val="21"/>
                <w:lang w:eastAsia="zh-CN"/>
              </w:rPr>
              <w:t>站</w:t>
            </w:r>
            <w:r>
              <w:rPr>
                <w:rFonts w:hint="eastAsia" w:ascii="宋体" w:hAnsi="Arial" w:cs="宋体"/>
                <w:spacing w:val="1"/>
                <w:w w:val="95"/>
                <w:sz w:val="21"/>
                <w:szCs w:val="21"/>
                <w:lang w:eastAsia="zh-CN"/>
              </w:rPr>
              <w:t>设置</w:t>
            </w:r>
            <w:r>
              <w:rPr>
                <w:rFonts w:hint="eastAsia" w:ascii="宋体" w:hAnsi="Arial" w:cs="宋体"/>
                <w:spacing w:val="-1"/>
                <w:w w:val="95"/>
                <w:sz w:val="21"/>
                <w:szCs w:val="21"/>
                <w:lang w:eastAsia="zh-CN"/>
              </w:rPr>
              <w:t>一</w:t>
            </w:r>
            <w:r>
              <w:rPr>
                <w:rFonts w:hint="eastAsia" w:ascii="宋体" w:hAnsi="Arial" w:cs="宋体"/>
                <w:w w:val="95"/>
                <w:sz w:val="21"/>
                <w:szCs w:val="21"/>
                <w:lang w:eastAsia="zh-CN"/>
              </w:rPr>
              <w:t>套</w:t>
            </w:r>
            <w:r>
              <w:rPr>
                <w:rFonts w:ascii="宋体" w:hAnsi="Arial" w:cs="宋体"/>
                <w:w w:val="99"/>
                <w:sz w:val="21"/>
                <w:szCs w:val="21"/>
                <w:lang w:eastAsia="zh-CN"/>
              </w:rPr>
              <w:t xml:space="preserve"> </w:t>
            </w:r>
            <w:r>
              <w:rPr>
                <w:rFonts w:hint="eastAsia" w:ascii="宋体" w:hAnsi="Arial" w:cs="宋体"/>
                <w:sz w:val="21"/>
                <w:szCs w:val="21"/>
                <w:lang w:eastAsia="zh-CN"/>
              </w:rPr>
              <w:t>臭气处理设施，规模</w:t>
            </w:r>
            <w:r>
              <w:rPr>
                <w:rFonts w:ascii="宋体" w:hAnsi="Arial" w:cs="宋体"/>
                <w:spacing w:val="-77"/>
                <w:sz w:val="21"/>
                <w:szCs w:val="21"/>
                <w:lang w:eastAsia="zh-CN"/>
              </w:rPr>
              <w:t xml:space="preserve"> </w:t>
            </w:r>
            <w:r>
              <w:rPr>
                <w:rFonts w:ascii="Arial" w:hAnsi="Arial" w:cs="Arial"/>
                <w:sz w:val="21"/>
                <w:szCs w:val="21"/>
                <w:lang w:eastAsia="zh-CN"/>
              </w:rPr>
              <w:t>120Nm</w:t>
            </w:r>
            <w:r>
              <w:rPr>
                <w:rFonts w:ascii="Arial" w:hAnsi="Arial" w:cs="Arial"/>
                <w:position w:val="7"/>
                <w:sz w:val="13"/>
                <w:szCs w:val="13"/>
                <w:lang w:eastAsia="zh-CN"/>
              </w:rPr>
              <w:t>3</w:t>
            </w:r>
            <w:r>
              <w:rPr>
                <w:rFonts w:ascii="Arial" w:hAnsi="Arial" w:cs="Arial"/>
                <w:sz w:val="21"/>
                <w:szCs w:val="21"/>
                <w:lang w:eastAsia="zh-CN"/>
              </w:rPr>
              <w:t>/h</w:t>
            </w:r>
          </w:p>
        </w:tc>
      </w:tr>
      <w:tr>
        <w:tblPrEx>
          <w:tblCellMar>
            <w:top w:w="0" w:type="dxa"/>
            <w:left w:w="0" w:type="dxa"/>
            <w:bottom w:w="0" w:type="dxa"/>
            <w:right w:w="0" w:type="dxa"/>
          </w:tblCellMar>
        </w:tblPrEx>
        <w:trPr>
          <w:trHeight w:val="412" w:hRule="exact"/>
        </w:trPr>
        <w:tc>
          <w:tcPr>
            <w:tcW w:w="644" w:type="dxa"/>
            <w:tcBorders>
              <w:top w:val="single" w:color="000000" w:sz="4" w:space="0"/>
              <w:left w:val="single" w:color="000000" w:sz="10" w:space="0"/>
              <w:bottom w:val="single" w:color="000000" w:sz="4" w:space="0"/>
              <w:right w:val="single" w:color="000000" w:sz="4" w:space="0"/>
            </w:tcBorders>
          </w:tcPr>
          <w:p>
            <w:pPr>
              <w:pStyle w:val="12"/>
              <w:kinsoku w:val="0"/>
              <w:overflowPunct w:val="0"/>
              <w:spacing w:before="76"/>
              <w:ind w:left="160"/>
            </w:pPr>
            <w:r>
              <w:rPr>
                <w:rFonts w:ascii="Arial" w:hAnsi="Arial" w:cs="Arial"/>
                <w:spacing w:val="-1"/>
                <w:sz w:val="21"/>
                <w:szCs w:val="21"/>
              </w:rPr>
              <w:t>4.2</w:t>
            </w:r>
          </w:p>
        </w:tc>
        <w:tc>
          <w:tcPr>
            <w:tcW w:w="3459" w:type="dxa"/>
            <w:tcBorders>
              <w:top w:val="single" w:color="000000" w:sz="4" w:space="0"/>
              <w:left w:val="single" w:color="000000" w:sz="4" w:space="0"/>
              <w:bottom w:val="single" w:color="000000" w:sz="4" w:space="0"/>
              <w:right w:val="single" w:color="000000" w:sz="4" w:space="0"/>
            </w:tcBorders>
          </w:tcPr>
          <w:p>
            <w:pPr>
              <w:pStyle w:val="12"/>
              <w:kinsoku w:val="0"/>
              <w:overflowPunct w:val="0"/>
              <w:spacing w:before="27"/>
              <w:ind w:left="20"/>
            </w:pPr>
            <w:r>
              <w:rPr>
                <w:rFonts w:hint="eastAsia" w:ascii="宋体" w:cs="宋体"/>
                <w:sz w:val="21"/>
                <w:szCs w:val="21"/>
              </w:rPr>
              <w:t>其他给排水设施</w:t>
            </w:r>
          </w:p>
        </w:tc>
        <w:tc>
          <w:tcPr>
            <w:tcW w:w="1737" w:type="dxa"/>
            <w:tcBorders>
              <w:top w:val="single" w:color="000000" w:sz="4" w:space="0"/>
              <w:left w:val="single" w:color="000000" w:sz="4" w:space="0"/>
              <w:bottom w:val="single" w:color="000000" w:sz="4" w:space="0"/>
              <w:right w:val="single" w:color="000000" w:sz="4" w:space="0"/>
            </w:tcBorders>
          </w:tcPr>
          <w:p/>
        </w:tc>
        <w:tc>
          <w:tcPr>
            <w:tcW w:w="3003" w:type="dxa"/>
            <w:tcBorders>
              <w:top w:val="single" w:color="000000" w:sz="4" w:space="0"/>
              <w:left w:val="single" w:color="000000" w:sz="4" w:space="0"/>
              <w:bottom w:val="single" w:color="000000" w:sz="4" w:space="0"/>
              <w:right w:val="single" w:color="000000" w:sz="10" w:space="0"/>
            </w:tcBorders>
          </w:tcPr>
          <w:p>
            <w:pPr>
              <w:pStyle w:val="12"/>
              <w:kinsoku w:val="0"/>
              <w:overflowPunct w:val="0"/>
              <w:spacing w:before="27"/>
              <w:ind w:left="2"/>
              <w:jc w:val="center"/>
            </w:pPr>
            <w:r>
              <w:rPr>
                <w:rFonts w:hint="eastAsia" w:ascii="宋体" w:cs="宋体"/>
                <w:spacing w:val="-1"/>
                <w:sz w:val="21"/>
                <w:szCs w:val="21"/>
              </w:rPr>
              <w:t>依托</w:t>
            </w:r>
          </w:p>
        </w:tc>
      </w:tr>
      <w:tr>
        <w:tblPrEx>
          <w:tblCellMar>
            <w:top w:w="0" w:type="dxa"/>
            <w:left w:w="0" w:type="dxa"/>
            <w:bottom w:w="0" w:type="dxa"/>
            <w:right w:w="0" w:type="dxa"/>
          </w:tblCellMar>
        </w:tblPrEx>
        <w:trPr>
          <w:trHeight w:val="412" w:hRule="exact"/>
        </w:trPr>
        <w:tc>
          <w:tcPr>
            <w:tcW w:w="644" w:type="dxa"/>
            <w:tcBorders>
              <w:top w:val="single" w:color="000000" w:sz="4" w:space="0"/>
              <w:left w:val="single" w:color="000000" w:sz="10" w:space="0"/>
              <w:bottom w:val="single" w:color="000000" w:sz="4" w:space="0"/>
              <w:right w:val="single" w:color="000000" w:sz="4" w:space="0"/>
            </w:tcBorders>
          </w:tcPr>
          <w:p/>
        </w:tc>
        <w:tc>
          <w:tcPr>
            <w:tcW w:w="3459" w:type="dxa"/>
            <w:tcBorders>
              <w:top w:val="single" w:color="000000" w:sz="4" w:space="0"/>
              <w:left w:val="single" w:color="000000" w:sz="4" w:space="0"/>
              <w:bottom w:val="single" w:color="000000" w:sz="4" w:space="0"/>
              <w:right w:val="single" w:color="000000" w:sz="4" w:space="0"/>
            </w:tcBorders>
          </w:tcPr>
          <w:p/>
        </w:tc>
        <w:tc>
          <w:tcPr>
            <w:tcW w:w="1737" w:type="dxa"/>
            <w:tcBorders>
              <w:top w:val="single" w:color="000000" w:sz="4" w:space="0"/>
              <w:left w:val="single" w:color="000000" w:sz="4" w:space="0"/>
              <w:bottom w:val="single" w:color="000000" w:sz="4" w:space="0"/>
              <w:right w:val="single" w:color="000000" w:sz="4" w:space="0"/>
            </w:tcBorders>
          </w:tcPr>
          <w:p/>
        </w:tc>
        <w:tc>
          <w:tcPr>
            <w:tcW w:w="3003" w:type="dxa"/>
            <w:tcBorders>
              <w:top w:val="single" w:color="000000" w:sz="4" w:space="0"/>
              <w:left w:val="single" w:color="000000" w:sz="4" w:space="0"/>
              <w:bottom w:val="single" w:color="000000" w:sz="4" w:space="0"/>
              <w:right w:val="single" w:color="000000" w:sz="10" w:space="0"/>
            </w:tcBorders>
          </w:tcPr>
          <w:p/>
        </w:tc>
      </w:tr>
      <w:tr>
        <w:tblPrEx>
          <w:tblCellMar>
            <w:top w:w="0" w:type="dxa"/>
            <w:left w:w="0" w:type="dxa"/>
            <w:bottom w:w="0" w:type="dxa"/>
            <w:right w:w="0" w:type="dxa"/>
          </w:tblCellMar>
        </w:tblPrEx>
        <w:trPr>
          <w:trHeight w:val="412" w:hRule="exact"/>
        </w:trPr>
        <w:tc>
          <w:tcPr>
            <w:tcW w:w="644" w:type="dxa"/>
            <w:tcBorders>
              <w:top w:val="single" w:color="000000" w:sz="4" w:space="0"/>
              <w:left w:val="single" w:color="000000" w:sz="10" w:space="0"/>
              <w:bottom w:val="single" w:color="000000" w:sz="4" w:space="0"/>
              <w:right w:val="single" w:color="000000" w:sz="4" w:space="0"/>
            </w:tcBorders>
          </w:tcPr>
          <w:p>
            <w:pPr>
              <w:pStyle w:val="12"/>
              <w:kinsoku w:val="0"/>
              <w:overflowPunct w:val="0"/>
              <w:spacing w:before="77"/>
              <w:ind w:right="5"/>
              <w:jc w:val="center"/>
            </w:pPr>
            <w:r>
              <w:rPr>
                <w:rFonts w:ascii="Arial" w:hAnsi="Arial" w:cs="Arial"/>
                <w:b/>
                <w:bCs/>
                <w:sz w:val="21"/>
                <w:szCs w:val="21"/>
              </w:rPr>
              <w:t>5</w:t>
            </w:r>
          </w:p>
        </w:tc>
        <w:tc>
          <w:tcPr>
            <w:tcW w:w="3459" w:type="dxa"/>
            <w:tcBorders>
              <w:top w:val="single" w:color="000000" w:sz="4" w:space="0"/>
              <w:left w:val="single" w:color="000000" w:sz="4" w:space="0"/>
              <w:bottom w:val="single" w:color="000000" w:sz="4" w:space="0"/>
              <w:right w:val="single" w:color="000000" w:sz="4" w:space="0"/>
            </w:tcBorders>
          </w:tcPr>
          <w:p>
            <w:pPr>
              <w:pStyle w:val="12"/>
              <w:kinsoku w:val="0"/>
              <w:overflowPunct w:val="0"/>
              <w:spacing w:before="29"/>
              <w:ind w:left="20"/>
            </w:pPr>
            <w:r>
              <w:rPr>
                <w:rFonts w:hint="eastAsia" w:ascii="宋体" w:cs="宋体"/>
                <w:b/>
                <w:bCs/>
                <w:spacing w:val="1"/>
                <w:sz w:val="21"/>
                <w:szCs w:val="21"/>
              </w:rPr>
              <w:t>供电电信</w:t>
            </w:r>
          </w:p>
        </w:tc>
        <w:tc>
          <w:tcPr>
            <w:tcW w:w="1737" w:type="dxa"/>
            <w:tcBorders>
              <w:top w:val="single" w:color="000000" w:sz="4" w:space="0"/>
              <w:left w:val="single" w:color="000000" w:sz="4" w:space="0"/>
              <w:bottom w:val="single" w:color="000000" w:sz="4" w:space="0"/>
              <w:right w:val="single" w:color="000000" w:sz="4" w:space="0"/>
            </w:tcBorders>
          </w:tcPr>
          <w:p/>
        </w:tc>
        <w:tc>
          <w:tcPr>
            <w:tcW w:w="3003" w:type="dxa"/>
            <w:tcBorders>
              <w:top w:val="single" w:color="000000" w:sz="4" w:space="0"/>
              <w:left w:val="single" w:color="000000" w:sz="4" w:space="0"/>
              <w:bottom w:val="single" w:color="000000" w:sz="4" w:space="0"/>
              <w:right w:val="single" w:color="000000" w:sz="10" w:space="0"/>
            </w:tcBorders>
          </w:tcPr>
          <w:p>
            <w:pPr>
              <w:pStyle w:val="12"/>
              <w:kinsoku w:val="0"/>
              <w:overflowPunct w:val="0"/>
              <w:spacing w:before="29"/>
              <w:ind w:left="2"/>
              <w:jc w:val="center"/>
            </w:pPr>
            <w:r>
              <w:rPr>
                <w:rFonts w:hint="eastAsia" w:ascii="宋体" w:cs="宋体"/>
                <w:spacing w:val="-1"/>
                <w:sz w:val="21"/>
                <w:szCs w:val="21"/>
              </w:rPr>
              <w:t>依托</w:t>
            </w:r>
          </w:p>
        </w:tc>
      </w:tr>
      <w:tr>
        <w:tblPrEx>
          <w:tblCellMar>
            <w:top w:w="0" w:type="dxa"/>
            <w:left w:w="0" w:type="dxa"/>
            <w:bottom w:w="0" w:type="dxa"/>
            <w:right w:w="0" w:type="dxa"/>
          </w:tblCellMar>
        </w:tblPrEx>
        <w:trPr>
          <w:trHeight w:val="412" w:hRule="exact"/>
        </w:trPr>
        <w:tc>
          <w:tcPr>
            <w:tcW w:w="644" w:type="dxa"/>
            <w:tcBorders>
              <w:top w:val="single" w:color="000000" w:sz="4" w:space="0"/>
              <w:left w:val="single" w:color="000000" w:sz="10" w:space="0"/>
              <w:bottom w:val="single" w:color="000000" w:sz="4" w:space="0"/>
              <w:right w:val="single" w:color="000000" w:sz="4" w:space="0"/>
            </w:tcBorders>
          </w:tcPr>
          <w:p/>
        </w:tc>
        <w:tc>
          <w:tcPr>
            <w:tcW w:w="3459" w:type="dxa"/>
            <w:tcBorders>
              <w:top w:val="single" w:color="000000" w:sz="4" w:space="0"/>
              <w:left w:val="single" w:color="000000" w:sz="4" w:space="0"/>
              <w:bottom w:val="single" w:color="000000" w:sz="4" w:space="0"/>
              <w:right w:val="single" w:color="000000" w:sz="4" w:space="0"/>
            </w:tcBorders>
          </w:tcPr>
          <w:p/>
        </w:tc>
        <w:tc>
          <w:tcPr>
            <w:tcW w:w="1737" w:type="dxa"/>
            <w:tcBorders>
              <w:top w:val="single" w:color="000000" w:sz="4" w:space="0"/>
              <w:left w:val="single" w:color="000000" w:sz="4" w:space="0"/>
              <w:bottom w:val="single" w:color="000000" w:sz="4" w:space="0"/>
              <w:right w:val="single" w:color="000000" w:sz="4" w:space="0"/>
            </w:tcBorders>
          </w:tcPr>
          <w:p/>
        </w:tc>
        <w:tc>
          <w:tcPr>
            <w:tcW w:w="3003" w:type="dxa"/>
            <w:tcBorders>
              <w:top w:val="single" w:color="000000" w:sz="4" w:space="0"/>
              <w:left w:val="single" w:color="000000" w:sz="4" w:space="0"/>
              <w:bottom w:val="single" w:color="000000" w:sz="4" w:space="0"/>
              <w:right w:val="single" w:color="000000" w:sz="10" w:space="0"/>
            </w:tcBorders>
          </w:tcPr>
          <w:p/>
        </w:tc>
      </w:tr>
      <w:tr>
        <w:tblPrEx>
          <w:tblCellMar>
            <w:top w:w="0" w:type="dxa"/>
            <w:left w:w="0" w:type="dxa"/>
            <w:bottom w:w="0" w:type="dxa"/>
            <w:right w:w="0" w:type="dxa"/>
          </w:tblCellMar>
        </w:tblPrEx>
        <w:trPr>
          <w:trHeight w:val="417" w:hRule="exact"/>
        </w:trPr>
        <w:tc>
          <w:tcPr>
            <w:tcW w:w="644" w:type="dxa"/>
            <w:tcBorders>
              <w:top w:val="single" w:color="000000" w:sz="4" w:space="0"/>
              <w:left w:val="single" w:color="000000" w:sz="10" w:space="0"/>
              <w:bottom w:val="single" w:color="000000" w:sz="4" w:space="0"/>
              <w:right w:val="single" w:color="000000" w:sz="4" w:space="0"/>
            </w:tcBorders>
          </w:tcPr>
          <w:p>
            <w:pPr>
              <w:pStyle w:val="12"/>
              <w:kinsoku w:val="0"/>
              <w:overflowPunct w:val="0"/>
              <w:spacing w:before="77"/>
              <w:ind w:right="5"/>
              <w:jc w:val="center"/>
            </w:pPr>
            <w:r>
              <w:rPr>
                <w:rFonts w:ascii="Arial" w:hAnsi="Arial" w:cs="Arial"/>
                <w:b/>
                <w:bCs/>
                <w:sz w:val="21"/>
                <w:szCs w:val="21"/>
              </w:rPr>
              <w:t>6</w:t>
            </w:r>
          </w:p>
        </w:tc>
        <w:tc>
          <w:tcPr>
            <w:tcW w:w="3459" w:type="dxa"/>
            <w:tcBorders>
              <w:top w:val="single" w:color="000000" w:sz="4" w:space="0"/>
              <w:left w:val="single" w:color="000000" w:sz="4" w:space="0"/>
              <w:bottom w:val="single" w:color="000000" w:sz="4" w:space="0"/>
              <w:right w:val="single" w:color="000000" w:sz="4" w:space="0"/>
            </w:tcBorders>
          </w:tcPr>
          <w:p>
            <w:pPr>
              <w:pStyle w:val="12"/>
              <w:kinsoku w:val="0"/>
              <w:overflowPunct w:val="0"/>
              <w:spacing w:before="28"/>
              <w:ind w:left="20"/>
            </w:pPr>
            <w:r>
              <w:rPr>
                <w:rFonts w:hint="eastAsia" w:ascii="宋体" w:cs="宋体"/>
                <w:b/>
                <w:bCs/>
                <w:spacing w:val="1"/>
                <w:sz w:val="21"/>
                <w:szCs w:val="21"/>
              </w:rPr>
              <w:t>供热供风供氮</w:t>
            </w:r>
          </w:p>
        </w:tc>
        <w:tc>
          <w:tcPr>
            <w:tcW w:w="1737" w:type="dxa"/>
            <w:tcBorders>
              <w:top w:val="single" w:color="000000" w:sz="4" w:space="0"/>
              <w:left w:val="single" w:color="000000" w:sz="4" w:space="0"/>
              <w:bottom w:val="single" w:color="000000" w:sz="4" w:space="0"/>
              <w:right w:val="single" w:color="000000" w:sz="4" w:space="0"/>
            </w:tcBorders>
          </w:tcPr>
          <w:p/>
        </w:tc>
        <w:tc>
          <w:tcPr>
            <w:tcW w:w="3003" w:type="dxa"/>
            <w:tcBorders>
              <w:top w:val="single" w:color="000000" w:sz="4" w:space="0"/>
              <w:left w:val="single" w:color="000000" w:sz="4" w:space="0"/>
              <w:bottom w:val="single" w:color="000000" w:sz="4" w:space="0"/>
              <w:right w:val="single" w:color="000000" w:sz="10" w:space="0"/>
            </w:tcBorders>
          </w:tcPr>
          <w:p/>
        </w:tc>
      </w:tr>
      <w:tr>
        <w:tblPrEx>
          <w:tblCellMar>
            <w:top w:w="0" w:type="dxa"/>
            <w:left w:w="0" w:type="dxa"/>
            <w:bottom w:w="0" w:type="dxa"/>
            <w:right w:w="0" w:type="dxa"/>
          </w:tblCellMar>
        </w:tblPrEx>
        <w:trPr>
          <w:trHeight w:val="417" w:hRule="exact"/>
        </w:trPr>
        <w:tc>
          <w:tcPr>
            <w:tcW w:w="644" w:type="dxa"/>
            <w:tcBorders>
              <w:top w:val="single" w:color="000000" w:sz="4" w:space="0"/>
              <w:left w:val="single" w:color="000000" w:sz="10" w:space="0"/>
              <w:bottom w:val="single" w:color="000000" w:sz="10" w:space="0"/>
              <w:right w:val="single" w:color="000000" w:sz="4" w:space="0"/>
            </w:tcBorders>
          </w:tcPr>
          <w:p>
            <w:pPr>
              <w:pStyle w:val="12"/>
              <w:kinsoku w:val="0"/>
              <w:overflowPunct w:val="0"/>
              <w:spacing w:before="76"/>
              <w:ind w:left="160"/>
            </w:pPr>
            <w:r>
              <w:rPr>
                <w:rFonts w:ascii="Arial" w:hAnsi="Arial" w:cs="Arial"/>
                <w:spacing w:val="-1"/>
                <w:sz w:val="21"/>
                <w:szCs w:val="21"/>
              </w:rPr>
              <w:t>6.1</w:t>
            </w:r>
          </w:p>
        </w:tc>
        <w:tc>
          <w:tcPr>
            <w:tcW w:w="3459" w:type="dxa"/>
            <w:tcBorders>
              <w:top w:val="single" w:color="000000" w:sz="4" w:space="0"/>
              <w:left w:val="single" w:color="000000" w:sz="4" w:space="0"/>
              <w:bottom w:val="single" w:color="000000" w:sz="10" w:space="0"/>
              <w:right w:val="single" w:color="000000" w:sz="4" w:space="0"/>
            </w:tcBorders>
          </w:tcPr>
          <w:p>
            <w:pPr>
              <w:pStyle w:val="12"/>
              <w:kinsoku w:val="0"/>
              <w:overflowPunct w:val="0"/>
              <w:spacing w:before="27"/>
              <w:ind w:left="20"/>
            </w:pPr>
            <w:r>
              <w:rPr>
                <w:rFonts w:hint="eastAsia" w:ascii="宋体" w:cs="宋体"/>
                <w:sz w:val="21"/>
                <w:szCs w:val="21"/>
              </w:rPr>
              <w:t>工厂热力管网</w:t>
            </w:r>
          </w:p>
        </w:tc>
        <w:tc>
          <w:tcPr>
            <w:tcW w:w="1737" w:type="dxa"/>
            <w:tcBorders>
              <w:top w:val="single" w:color="000000" w:sz="4" w:space="0"/>
              <w:left w:val="single" w:color="000000" w:sz="4" w:space="0"/>
              <w:bottom w:val="single" w:color="000000" w:sz="10" w:space="0"/>
              <w:right w:val="single" w:color="000000" w:sz="4" w:space="0"/>
            </w:tcBorders>
          </w:tcPr>
          <w:p/>
        </w:tc>
        <w:tc>
          <w:tcPr>
            <w:tcW w:w="3003" w:type="dxa"/>
            <w:tcBorders>
              <w:top w:val="single" w:color="000000" w:sz="4" w:space="0"/>
              <w:left w:val="single" w:color="000000" w:sz="4" w:space="0"/>
              <w:bottom w:val="single" w:color="000000" w:sz="10" w:space="0"/>
              <w:right w:val="single" w:color="000000" w:sz="10" w:space="0"/>
            </w:tcBorders>
          </w:tcPr>
          <w:p>
            <w:pPr>
              <w:pStyle w:val="12"/>
              <w:kinsoku w:val="0"/>
              <w:overflowPunct w:val="0"/>
              <w:spacing w:before="27"/>
              <w:ind w:left="862"/>
            </w:pPr>
            <w:r>
              <w:rPr>
                <w:rFonts w:hint="eastAsia" w:ascii="宋体" w:cs="宋体"/>
                <w:sz w:val="21"/>
                <w:szCs w:val="21"/>
              </w:rPr>
              <w:t>适应性改扩建</w:t>
            </w:r>
          </w:p>
        </w:tc>
      </w:tr>
      <w:tr>
        <w:tblPrEx>
          <w:tblCellMar>
            <w:top w:w="0" w:type="dxa"/>
            <w:left w:w="0" w:type="dxa"/>
            <w:bottom w:w="0" w:type="dxa"/>
            <w:right w:w="0" w:type="dxa"/>
          </w:tblCellMar>
        </w:tblPrEx>
        <w:trPr>
          <w:trHeight w:val="417" w:hRule="exact"/>
        </w:trPr>
        <w:tc>
          <w:tcPr>
            <w:tcW w:w="644" w:type="dxa"/>
            <w:tcBorders>
              <w:top w:val="single" w:color="000000" w:sz="4" w:space="0"/>
              <w:left w:val="single" w:color="000000" w:sz="10" w:space="0"/>
              <w:bottom w:val="single" w:color="000000" w:sz="10" w:space="0"/>
              <w:right w:val="single" w:color="000000" w:sz="4" w:space="0"/>
            </w:tcBorders>
          </w:tcPr>
          <w:p>
            <w:pPr>
              <w:pStyle w:val="12"/>
              <w:kinsoku w:val="0"/>
              <w:overflowPunct w:val="0"/>
              <w:spacing w:before="76"/>
              <w:ind w:left="160"/>
            </w:pPr>
            <w:r>
              <w:rPr>
                <w:rFonts w:ascii="Arial" w:hAnsi="Arial" w:cs="Arial"/>
                <w:spacing w:val="-1"/>
                <w:sz w:val="21"/>
                <w:szCs w:val="21"/>
              </w:rPr>
              <w:t>6.2</w:t>
            </w:r>
          </w:p>
        </w:tc>
        <w:tc>
          <w:tcPr>
            <w:tcW w:w="3459" w:type="dxa"/>
            <w:tcBorders>
              <w:top w:val="single" w:color="000000" w:sz="4" w:space="0"/>
              <w:left w:val="single" w:color="000000" w:sz="4" w:space="0"/>
              <w:bottom w:val="single" w:color="000000" w:sz="10" w:space="0"/>
              <w:right w:val="single" w:color="000000" w:sz="4" w:space="0"/>
            </w:tcBorders>
          </w:tcPr>
          <w:p>
            <w:pPr>
              <w:pStyle w:val="12"/>
              <w:kinsoku w:val="0"/>
              <w:overflowPunct w:val="0"/>
              <w:spacing w:before="28"/>
              <w:ind w:left="20"/>
            </w:pPr>
            <w:r>
              <w:rPr>
                <w:rFonts w:hint="eastAsia" w:ascii="宋体" w:cs="宋体"/>
                <w:sz w:val="21"/>
                <w:szCs w:val="21"/>
              </w:rPr>
              <w:t>其他热工设施</w:t>
            </w:r>
          </w:p>
        </w:tc>
        <w:tc>
          <w:tcPr>
            <w:tcW w:w="1737" w:type="dxa"/>
            <w:tcBorders>
              <w:top w:val="single" w:color="000000" w:sz="4" w:space="0"/>
              <w:left w:val="single" w:color="000000" w:sz="4" w:space="0"/>
              <w:bottom w:val="single" w:color="000000" w:sz="10" w:space="0"/>
              <w:right w:val="single" w:color="000000" w:sz="4" w:space="0"/>
            </w:tcBorders>
          </w:tcPr>
          <w:p/>
        </w:tc>
        <w:tc>
          <w:tcPr>
            <w:tcW w:w="3003" w:type="dxa"/>
            <w:tcBorders>
              <w:top w:val="single" w:color="000000" w:sz="4" w:space="0"/>
              <w:left w:val="single" w:color="000000" w:sz="4" w:space="0"/>
              <w:bottom w:val="single" w:color="000000" w:sz="10" w:space="0"/>
              <w:right w:val="single" w:color="000000" w:sz="10" w:space="0"/>
            </w:tcBorders>
          </w:tcPr>
          <w:p>
            <w:pPr>
              <w:pStyle w:val="12"/>
              <w:kinsoku w:val="0"/>
              <w:overflowPunct w:val="0"/>
              <w:spacing w:before="28"/>
              <w:ind w:left="2"/>
              <w:jc w:val="center"/>
            </w:pPr>
            <w:r>
              <w:rPr>
                <w:rFonts w:hint="eastAsia" w:ascii="宋体" w:cs="宋体"/>
                <w:spacing w:val="-1"/>
                <w:sz w:val="21"/>
                <w:szCs w:val="21"/>
              </w:rPr>
              <w:t>依托</w:t>
            </w:r>
          </w:p>
        </w:tc>
      </w:tr>
      <w:tr>
        <w:tblPrEx>
          <w:tblCellMar>
            <w:top w:w="0" w:type="dxa"/>
            <w:left w:w="0" w:type="dxa"/>
            <w:bottom w:w="0" w:type="dxa"/>
            <w:right w:w="0" w:type="dxa"/>
          </w:tblCellMar>
        </w:tblPrEx>
        <w:trPr>
          <w:trHeight w:val="417" w:hRule="exact"/>
        </w:trPr>
        <w:tc>
          <w:tcPr>
            <w:tcW w:w="644" w:type="dxa"/>
            <w:tcBorders>
              <w:top w:val="single" w:color="000000" w:sz="4" w:space="0"/>
              <w:left w:val="single" w:color="000000" w:sz="10" w:space="0"/>
              <w:bottom w:val="single" w:color="000000" w:sz="10" w:space="0"/>
              <w:right w:val="single" w:color="000000" w:sz="4" w:space="0"/>
            </w:tcBorders>
          </w:tcPr>
          <w:p/>
        </w:tc>
        <w:tc>
          <w:tcPr>
            <w:tcW w:w="3459" w:type="dxa"/>
            <w:tcBorders>
              <w:top w:val="single" w:color="000000" w:sz="4" w:space="0"/>
              <w:left w:val="single" w:color="000000" w:sz="4" w:space="0"/>
              <w:bottom w:val="single" w:color="000000" w:sz="10" w:space="0"/>
              <w:right w:val="single" w:color="000000" w:sz="4" w:space="0"/>
            </w:tcBorders>
          </w:tcPr>
          <w:p/>
        </w:tc>
        <w:tc>
          <w:tcPr>
            <w:tcW w:w="1737" w:type="dxa"/>
            <w:tcBorders>
              <w:top w:val="single" w:color="000000" w:sz="4" w:space="0"/>
              <w:left w:val="single" w:color="000000" w:sz="4" w:space="0"/>
              <w:bottom w:val="single" w:color="000000" w:sz="10" w:space="0"/>
              <w:right w:val="single" w:color="000000" w:sz="4" w:space="0"/>
            </w:tcBorders>
          </w:tcPr>
          <w:p/>
        </w:tc>
        <w:tc>
          <w:tcPr>
            <w:tcW w:w="3003" w:type="dxa"/>
            <w:tcBorders>
              <w:top w:val="single" w:color="000000" w:sz="4" w:space="0"/>
              <w:left w:val="single" w:color="000000" w:sz="4" w:space="0"/>
              <w:bottom w:val="single" w:color="000000" w:sz="10" w:space="0"/>
              <w:right w:val="single" w:color="000000" w:sz="10" w:space="0"/>
            </w:tcBorders>
          </w:tcPr>
          <w:p/>
        </w:tc>
      </w:tr>
      <w:tr>
        <w:tblPrEx>
          <w:tblCellMar>
            <w:top w:w="0" w:type="dxa"/>
            <w:left w:w="0" w:type="dxa"/>
            <w:bottom w:w="0" w:type="dxa"/>
            <w:right w:w="0" w:type="dxa"/>
          </w:tblCellMar>
        </w:tblPrEx>
        <w:trPr>
          <w:trHeight w:val="417" w:hRule="exact"/>
        </w:trPr>
        <w:tc>
          <w:tcPr>
            <w:tcW w:w="644" w:type="dxa"/>
            <w:tcBorders>
              <w:top w:val="single" w:color="000000" w:sz="4" w:space="0"/>
              <w:left w:val="single" w:color="000000" w:sz="10" w:space="0"/>
              <w:bottom w:val="single" w:color="000000" w:sz="10" w:space="0"/>
              <w:right w:val="single" w:color="000000" w:sz="4" w:space="0"/>
            </w:tcBorders>
          </w:tcPr>
          <w:p>
            <w:pPr>
              <w:pStyle w:val="12"/>
              <w:kinsoku w:val="0"/>
              <w:overflowPunct w:val="0"/>
              <w:spacing w:before="76"/>
              <w:ind w:right="5"/>
              <w:jc w:val="center"/>
            </w:pPr>
            <w:r>
              <w:rPr>
                <w:rFonts w:ascii="Arial" w:hAnsi="Arial" w:cs="Arial"/>
                <w:b/>
                <w:bCs/>
                <w:sz w:val="21"/>
                <w:szCs w:val="21"/>
              </w:rPr>
              <w:t>7</w:t>
            </w:r>
          </w:p>
        </w:tc>
        <w:tc>
          <w:tcPr>
            <w:tcW w:w="3459" w:type="dxa"/>
            <w:tcBorders>
              <w:top w:val="single" w:color="000000" w:sz="4" w:space="0"/>
              <w:left w:val="single" w:color="000000" w:sz="4" w:space="0"/>
              <w:bottom w:val="single" w:color="000000" w:sz="10" w:space="0"/>
              <w:right w:val="single" w:color="000000" w:sz="4" w:space="0"/>
            </w:tcBorders>
          </w:tcPr>
          <w:p>
            <w:pPr>
              <w:pStyle w:val="12"/>
              <w:kinsoku w:val="0"/>
              <w:overflowPunct w:val="0"/>
              <w:spacing w:before="27"/>
              <w:ind w:left="20"/>
            </w:pPr>
            <w:r>
              <w:rPr>
                <w:rFonts w:hint="eastAsia" w:ascii="宋体" w:cs="宋体"/>
                <w:b/>
                <w:bCs/>
                <w:spacing w:val="2"/>
                <w:sz w:val="21"/>
                <w:szCs w:val="21"/>
              </w:rPr>
              <w:t>其</w:t>
            </w:r>
            <w:r>
              <w:rPr>
                <w:rFonts w:hint="eastAsia" w:ascii="宋体" w:cs="宋体"/>
                <w:b/>
                <w:bCs/>
                <w:sz w:val="21"/>
                <w:szCs w:val="21"/>
              </w:rPr>
              <w:t>他</w:t>
            </w:r>
          </w:p>
        </w:tc>
        <w:tc>
          <w:tcPr>
            <w:tcW w:w="1737" w:type="dxa"/>
            <w:tcBorders>
              <w:top w:val="single" w:color="000000" w:sz="4" w:space="0"/>
              <w:left w:val="single" w:color="000000" w:sz="4" w:space="0"/>
              <w:bottom w:val="single" w:color="000000" w:sz="10" w:space="0"/>
              <w:right w:val="single" w:color="000000" w:sz="4" w:space="0"/>
            </w:tcBorders>
          </w:tcPr>
          <w:p/>
        </w:tc>
        <w:tc>
          <w:tcPr>
            <w:tcW w:w="3003" w:type="dxa"/>
            <w:tcBorders>
              <w:top w:val="single" w:color="000000" w:sz="4" w:space="0"/>
              <w:left w:val="single" w:color="000000" w:sz="4" w:space="0"/>
              <w:bottom w:val="single" w:color="000000" w:sz="10" w:space="0"/>
              <w:right w:val="single" w:color="000000" w:sz="10" w:space="0"/>
            </w:tcBorders>
          </w:tcPr>
          <w:p/>
        </w:tc>
      </w:tr>
      <w:tr>
        <w:tblPrEx>
          <w:tblCellMar>
            <w:top w:w="0" w:type="dxa"/>
            <w:left w:w="0" w:type="dxa"/>
            <w:bottom w:w="0" w:type="dxa"/>
            <w:right w:w="0" w:type="dxa"/>
          </w:tblCellMar>
        </w:tblPrEx>
        <w:trPr>
          <w:trHeight w:val="417" w:hRule="exact"/>
        </w:trPr>
        <w:tc>
          <w:tcPr>
            <w:tcW w:w="644" w:type="dxa"/>
            <w:tcBorders>
              <w:top w:val="single" w:color="000000" w:sz="4" w:space="0"/>
              <w:left w:val="single" w:color="000000" w:sz="10" w:space="0"/>
              <w:bottom w:val="single" w:color="000000" w:sz="10" w:space="0"/>
              <w:right w:val="single" w:color="000000" w:sz="4" w:space="0"/>
            </w:tcBorders>
          </w:tcPr>
          <w:p>
            <w:pPr>
              <w:pStyle w:val="12"/>
              <w:kinsoku w:val="0"/>
              <w:overflowPunct w:val="0"/>
              <w:spacing w:before="76"/>
              <w:ind w:left="160"/>
            </w:pPr>
            <w:r>
              <w:rPr>
                <w:rFonts w:ascii="Arial" w:hAnsi="Arial" w:cs="Arial"/>
                <w:spacing w:val="-1"/>
                <w:sz w:val="21"/>
                <w:szCs w:val="21"/>
              </w:rPr>
              <w:t>7.1</w:t>
            </w:r>
          </w:p>
        </w:tc>
        <w:tc>
          <w:tcPr>
            <w:tcW w:w="3459" w:type="dxa"/>
            <w:tcBorders>
              <w:top w:val="single" w:color="000000" w:sz="4" w:space="0"/>
              <w:left w:val="single" w:color="000000" w:sz="4" w:space="0"/>
              <w:bottom w:val="single" w:color="000000" w:sz="10" w:space="0"/>
              <w:right w:val="single" w:color="000000" w:sz="4" w:space="0"/>
            </w:tcBorders>
          </w:tcPr>
          <w:p>
            <w:pPr>
              <w:pStyle w:val="12"/>
              <w:kinsoku w:val="0"/>
              <w:overflowPunct w:val="0"/>
              <w:spacing w:before="28"/>
              <w:ind w:left="20"/>
            </w:pPr>
            <w:r>
              <w:rPr>
                <w:rFonts w:hint="eastAsia" w:ascii="宋体" w:cs="宋体"/>
                <w:spacing w:val="-1"/>
                <w:sz w:val="21"/>
                <w:szCs w:val="21"/>
              </w:rPr>
              <w:t>暖通</w:t>
            </w:r>
          </w:p>
        </w:tc>
        <w:tc>
          <w:tcPr>
            <w:tcW w:w="1737" w:type="dxa"/>
            <w:tcBorders>
              <w:top w:val="single" w:color="000000" w:sz="4" w:space="0"/>
              <w:left w:val="single" w:color="000000" w:sz="4" w:space="0"/>
              <w:bottom w:val="single" w:color="000000" w:sz="10" w:space="0"/>
              <w:right w:val="single" w:color="000000" w:sz="4" w:space="0"/>
            </w:tcBorders>
          </w:tcPr>
          <w:p/>
        </w:tc>
        <w:tc>
          <w:tcPr>
            <w:tcW w:w="3003" w:type="dxa"/>
            <w:tcBorders>
              <w:top w:val="single" w:color="000000" w:sz="4" w:space="0"/>
              <w:left w:val="single" w:color="000000" w:sz="4" w:space="0"/>
              <w:bottom w:val="single" w:color="000000" w:sz="10" w:space="0"/>
              <w:right w:val="single" w:color="000000" w:sz="10" w:space="0"/>
            </w:tcBorders>
          </w:tcPr>
          <w:p>
            <w:pPr>
              <w:pStyle w:val="12"/>
              <w:kinsoku w:val="0"/>
              <w:overflowPunct w:val="0"/>
              <w:spacing w:before="28"/>
              <w:ind w:left="442"/>
              <w:rPr>
                <w:lang w:eastAsia="zh-CN"/>
              </w:rPr>
            </w:pPr>
            <w:r>
              <w:rPr>
                <w:rFonts w:hint="eastAsia" w:ascii="宋体" w:cs="宋体"/>
                <w:sz w:val="21"/>
                <w:szCs w:val="21"/>
                <w:lang w:eastAsia="zh-CN"/>
              </w:rPr>
              <w:t>新增部分暖通空调设备</w:t>
            </w:r>
          </w:p>
        </w:tc>
      </w:tr>
      <w:bookmarkEnd w:id="0"/>
      <w:bookmarkEnd w:id="1"/>
    </w:tbl>
    <w:p>
      <w:pPr>
        <w:autoSpaceDE w:val="0"/>
        <w:autoSpaceDN w:val="0"/>
        <w:adjustRightInd w:val="0"/>
        <w:spacing w:line="360" w:lineRule="auto"/>
        <w:ind w:left="720" w:firstLine="560" w:firstLineChars="200"/>
        <w:jc w:val="left"/>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原料适应性技改项目</w:t>
      </w:r>
      <w:r>
        <w:rPr>
          <w:rFonts w:hint="eastAsia" w:ascii="仿宋_GB2312" w:eastAsia="仿宋_GB2312"/>
          <w:sz w:val="28"/>
          <w:szCs w:val="28"/>
        </w:rPr>
        <w:t>连续重整装置的重整加热炉节能改造，采用燃料气复合阻蚀专利技术，对燃料气进行精制处理。将燃料气中的硫化物、含氮化合物、氰化物、氯化物等污染杂质去除和吸附，将露点腐蚀和污染物解决在燃烧之前，为长期稳定地提高加热炉热效率创造</w:t>
      </w:r>
      <w:r>
        <w:rPr>
          <w:rFonts w:ascii="仿宋_GB2312" w:eastAsia="仿宋_GB2312"/>
          <w:sz w:val="28"/>
          <w:szCs w:val="28"/>
        </w:rPr>
        <w:t>有利条件。</w:t>
      </w:r>
      <w:r>
        <w:rPr>
          <w:rFonts w:hint="eastAsia" w:ascii="仿宋_GB2312" w:eastAsia="仿宋_GB2312"/>
          <w:sz w:val="28"/>
          <w:szCs w:val="28"/>
        </w:rPr>
        <w:t>改造后装置规模保持不变。</w:t>
      </w:r>
    </w:p>
    <w:p>
      <w:pPr>
        <w:numPr>
          <w:ilvl w:val="0"/>
          <w:numId w:val="1"/>
        </w:numPr>
        <w:spacing w:line="360" w:lineRule="auto"/>
        <w:ind w:left="964" w:hanging="964" w:hangingChars="343"/>
        <w:rPr>
          <w:rFonts w:ascii="仿宋_GB2312" w:eastAsia="仿宋_GB2312"/>
          <w:b/>
          <w:sz w:val="28"/>
          <w:szCs w:val="28"/>
        </w:rPr>
      </w:pPr>
      <w:r>
        <w:rPr>
          <w:rFonts w:hint="eastAsia" w:ascii="仿宋_GB2312" w:eastAsia="仿宋_GB2312"/>
          <w:b/>
          <w:sz w:val="28"/>
          <w:szCs w:val="28"/>
        </w:rPr>
        <w:t>招标内容</w:t>
      </w:r>
    </w:p>
    <w:p>
      <w:pPr>
        <w:autoSpaceDE w:val="0"/>
        <w:autoSpaceDN w:val="0"/>
        <w:adjustRightInd w:val="0"/>
        <w:spacing w:line="360" w:lineRule="auto"/>
        <w:ind w:left="720" w:firstLine="560" w:firstLineChars="200"/>
        <w:jc w:val="left"/>
        <w:rPr>
          <w:rFonts w:ascii="仿宋_GB2312" w:eastAsia="仿宋_GB2312"/>
          <w:sz w:val="28"/>
          <w:szCs w:val="28"/>
        </w:rPr>
      </w:pPr>
      <w:r>
        <w:rPr>
          <w:rFonts w:hint="eastAsia" w:ascii="仿宋_GB2312" w:eastAsia="仿宋_GB2312"/>
          <w:sz w:val="28"/>
          <w:szCs w:val="28"/>
        </w:rPr>
        <w:t>甲方提供可行性研究报告和原料适应性技改项目预评价报告，乙方负责编制《芳烃联合装置优化节能项目职业病危害预评价报告书》（中文）及《原料适应性技改项目连续重整装置四合一加热炉节能改造职业病防护设施设计专篇》。</w:t>
      </w:r>
    </w:p>
    <w:p>
      <w:pPr>
        <w:numPr>
          <w:ilvl w:val="0"/>
          <w:numId w:val="1"/>
        </w:numPr>
        <w:spacing w:line="360" w:lineRule="auto"/>
        <w:ind w:left="964" w:hanging="964" w:hangingChars="343"/>
        <w:rPr>
          <w:rFonts w:ascii="仿宋_GB2312" w:eastAsia="仿宋_GB2312"/>
          <w:b/>
          <w:sz w:val="28"/>
          <w:szCs w:val="28"/>
        </w:rPr>
      </w:pPr>
      <w:r>
        <w:rPr>
          <w:rFonts w:hint="eastAsia" w:ascii="仿宋_GB2312" w:eastAsia="仿宋_GB2312"/>
          <w:b/>
          <w:sz w:val="28"/>
          <w:szCs w:val="28"/>
        </w:rPr>
        <w:t>投标资质要求</w:t>
      </w:r>
    </w:p>
    <w:p>
      <w:pPr>
        <w:autoSpaceDE w:val="0"/>
        <w:autoSpaceDN w:val="0"/>
        <w:adjustRightInd w:val="0"/>
        <w:spacing w:line="360" w:lineRule="auto"/>
        <w:ind w:left="964" w:firstLine="280" w:firstLineChars="100"/>
        <w:jc w:val="left"/>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w:t>
      </w:r>
      <w:r>
        <w:rPr>
          <w:rFonts w:ascii="仿宋_GB2312" w:eastAsia="仿宋_GB2312"/>
          <w:sz w:val="28"/>
          <w:szCs w:val="28"/>
        </w:rPr>
        <w:t>独立法人</w:t>
      </w:r>
      <w:r>
        <w:rPr>
          <w:rFonts w:hint="eastAsia" w:ascii="仿宋_GB2312" w:eastAsia="仿宋_GB2312"/>
          <w:sz w:val="28"/>
          <w:szCs w:val="28"/>
        </w:rPr>
        <w:t>，</w:t>
      </w:r>
      <w:r>
        <w:rPr>
          <w:rFonts w:ascii="仿宋_GB2312" w:eastAsia="仿宋_GB2312"/>
          <w:sz w:val="28"/>
          <w:szCs w:val="28"/>
        </w:rPr>
        <w:t>不能以挂靠形式投标</w:t>
      </w:r>
      <w:r>
        <w:rPr>
          <w:rFonts w:hint="eastAsia" w:ascii="仿宋_GB2312" w:eastAsia="仿宋_GB2312"/>
          <w:sz w:val="28"/>
          <w:szCs w:val="28"/>
        </w:rPr>
        <w:t>。（提供营业执照）。</w:t>
      </w:r>
    </w:p>
    <w:p>
      <w:pPr>
        <w:autoSpaceDE w:val="0"/>
        <w:autoSpaceDN w:val="0"/>
        <w:adjustRightInd w:val="0"/>
        <w:spacing w:line="360" w:lineRule="auto"/>
        <w:ind w:left="720" w:firstLine="560" w:firstLineChars="200"/>
        <w:jc w:val="left"/>
        <w:rPr>
          <w:rFonts w:ascii="仿宋_GB2312" w:eastAsia="仿宋_GB2312"/>
          <w:color w:val="FF0000"/>
          <w:sz w:val="28"/>
          <w:szCs w:val="28"/>
        </w:rPr>
      </w:pPr>
      <w:r>
        <w:rPr>
          <w:rFonts w:hint="eastAsia" w:ascii="仿宋_GB2312" w:eastAsia="仿宋_GB2312"/>
          <w:sz w:val="28"/>
          <w:szCs w:val="28"/>
        </w:rPr>
        <w:t>2、乙方须具有</w:t>
      </w:r>
      <w:r>
        <w:rPr>
          <w:rFonts w:ascii="仿宋_GB2312" w:eastAsia="仿宋_GB2312"/>
          <w:sz w:val="28"/>
          <w:szCs w:val="28"/>
        </w:rPr>
        <w:t>职业卫生技术服务机构</w:t>
      </w:r>
      <w:r>
        <w:rPr>
          <w:rFonts w:hint="eastAsia" w:ascii="仿宋_GB2312" w:eastAsia="仿宋_GB2312"/>
          <w:sz w:val="28"/>
          <w:szCs w:val="28"/>
        </w:rPr>
        <w:t>资质（提供资质证书或政府部门出具的资质证明文件），</w:t>
      </w:r>
      <w:r>
        <w:rPr>
          <w:rFonts w:hint="eastAsia" w:ascii="仿宋_GB2312" w:eastAsia="仿宋_GB2312"/>
          <w:color w:val="000000" w:themeColor="text1"/>
          <w:sz w:val="28"/>
          <w:szCs w:val="28"/>
        </w:rPr>
        <w:t>具备石化行业、放射评价资质。</w:t>
      </w:r>
    </w:p>
    <w:p>
      <w:pPr>
        <w:autoSpaceDE w:val="0"/>
        <w:autoSpaceDN w:val="0"/>
        <w:adjustRightInd w:val="0"/>
        <w:spacing w:line="360" w:lineRule="auto"/>
        <w:ind w:left="720" w:firstLine="560" w:firstLineChars="200"/>
        <w:jc w:val="left"/>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、乙方在近3年（20</w:t>
      </w:r>
      <w:r>
        <w:rPr>
          <w:rFonts w:ascii="仿宋_GB2312" w:eastAsia="仿宋_GB2312"/>
          <w:sz w:val="28"/>
          <w:szCs w:val="28"/>
        </w:rPr>
        <w:t>21</w:t>
      </w:r>
      <w:r>
        <w:rPr>
          <w:rFonts w:hint="eastAsia" w:ascii="仿宋_GB2312" w:eastAsia="仿宋_GB2312"/>
          <w:sz w:val="28"/>
          <w:szCs w:val="28"/>
        </w:rPr>
        <w:t>-202</w:t>
      </w:r>
      <w:r>
        <w:rPr>
          <w:rFonts w:ascii="仿宋_GB2312" w:eastAsia="仿宋_GB2312"/>
          <w:sz w:val="28"/>
          <w:szCs w:val="28"/>
        </w:rPr>
        <w:t>3</w:t>
      </w:r>
      <w:r>
        <w:rPr>
          <w:rFonts w:hint="eastAsia" w:ascii="仿宋_GB2312" w:eastAsia="仿宋_GB2312"/>
          <w:sz w:val="28"/>
          <w:szCs w:val="28"/>
        </w:rPr>
        <w:t>）主持完成</w:t>
      </w:r>
      <w:r>
        <w:rPr>
          <w:rFonts w:ascii="仿宋_GB2312" w:eastAsia="仿宋_GB2312"/>
          <w:sz w:val="28"/>
          <w:szCs w:val="28"/>
        </w:rPr>
        <w:t>1</w:t>
      </w:r>
      <w:r>
        <w:rPr>
          <w:rFonts w:hint="eastAsia" w:ascii="仿宋_GB2312" w:eastAsia="仿宋_GB2312"/>
          <w:sz w:val="28"/>
          <w:szCs w:val="28"/>
        </w:rPr>
        <w:t>个及以上大型石化新、改、扩建设项目（投资总额在50亿元以上）的职业卫生评价技术服务业绩,并通过专家评审。（至少包含首页和签署页，提供体现项目投资合同和报告书专家评审意见）。</w:t>
      </w:r>
    </w:p>
    <w:p>
      <w:pPr>
        <w:autoSpaceDE w:val="0"/>
        <w:autoSpaceDN w:val="0"/>
        <w:adjustRightInd w:val="0"/>
        <w:spacing w:line="360" w:lineRule="auto"/>
        <w:ind w:left="720" w:firstLine="560" w:firstLineChars="200"/>
        <w:jc w:val="left"/>
        <w:rPr>
          <w:rFonts w:ascii="仿宋_GB2312" w:eastAsia="仿宋_GB2312"/>
          <w:sz w:val="28"/>
          <w:szCs w:val="28"/>
        </w:rPr>
      </w:pPr>
      <w:r>
        <w:rPr>
          <w:rFonts w:hint="eastAsia" w:ascii="仿宋_GB2312" w:eastAsia="仿宋_GB2312"/>
          <w:sz w:val="28"/>
          <w:szCs w:val="28"/>
        </w:rPr>
        <w:t>4、乙方在近3年（20</w:t>
      </w:r>
      <w:r>
        <w:rPr>
          <w:rFonts w:ascii="仿宋_GB2312" w:eastAsia="仿宋_GB2312"/>
          <w:sz w:val="28"/>
          <w:szCs w:val="28"/>
        </w:rPr>
        <w:t>21</w:t>
      </w:r>
      <w:r>
        <w:rPr>
          <w:rFonts w:hint="eastAsia" w:ascii="仿宋_GB2312" w:eastAsia="仿宋_GB2312"/>
          <w:sz w:val="28"/>
          <w:szCs w:val="28"/>
        </w:rPr>
        <w:t>-202</w:t>
      </w:r>
      <w:r>
        <w:rPr>
          <w:rFonts w:ascii="仿宋_GB2312" w:eastAsia="仿宋_GB2312"/>
          <w:sz w:val="28"/>
          <w:szCs w:val="28"/>
        </w:rPr>
        <w:t>3</w:t>
      </w:r>
      <w:r>
        <w:rPr>
          <w:rFonts w:hint="eastAsia" w:ascii="仿宋_GB2312" w:eastAsia="仿宋_GB2312"/>
          <w:sz w:val="28"/>
          <w:szCs w:val="28"/>
        </w:rPr>
        <w:t>）内在福建省开展评价活动不得有职卫相关行政处罚或警告记录。</w:t>
      </w:r>
    </w:p>
    <w:p>
      <w:pPr>
        <w:autoSpaceDE w:val="0"/>
        <w:autoSpaceDN w:val="0"/>
        <w:adjustRightInd w:val="0"/>
        <w:spacing w:line="360" w:lineRule="auto"/>
        <w:ind w:left="720" w:firstLine="560" w:firstLineChars="200"/>
        <w:jc w:val="left"/>
        <w:rPr>
          <w:rFonts w:ascii="仿宋_GB2312" w:eastAsia="仿宋_GB2312"/>
          <w:sz w:val="28"/>
          <w:szCs w:val="28"/>
        </w:rPr>
      </w:pPr>
      <w:r>
        <w:rPr>
          <w:rFonts w:hint="eastAsia" w:ascii="仿宋_GB2312" w:eastAsia="仿宋_GB2312"/>
          <w:sz w:val="28"/>
          <w:szCs w:val="28"/>
        </w:rPr>
        <w:t>5、在我司过往投标过程中提供虚假记录的单位不得投标。</w:t>
      </w:r>
    </w:p>
    <w:p>
      <w:pPr>
        <w:spacing w:before="312" w:beforeLines="100" w:line="360" w:lineRule="auto"/>
        <w:rPr>
          <w:rFonts w:ascii="仿宋_GB2312" w:eastAsia="仿宋_GB2312"/>
          <w:b/>
          <w:sz w:val="28"/>
          <w:szCs w:val="28"/>
        </w:rPr>
      </w:pPr>
      <w:r>
        <w:rPr>
          <w:rFonts w:hint="eastAsia" w:ascii="仿宋_GB2312" w:eastAsia="仿宋_GB2312"/>
          <w:b/>
          <w:sz w:val="28"/>
          <w:szCs w:val="28"/>
        </w:rPr>
        <w:t xml:space="preserve">五、发包要求 </w:t>
      </w:r>
      <w:r>
        <w:rPr>
          <w:rFonts w:ascii="仿宋_GB2312" w:eastAsia="仿宋_GB2312"/>
          <w:b/>
          <w:sz w:val="28"/>
          <w:szCs w:val="28"/>
        </w:rPr>
        <w:t xml:space="preserve"> </w:t>
      </w:r>
    </w:p>
    <w:p>
      <w:pPr>
        <w:numPr>
          <w:ilvl w:val="0"/>
          <w:numId w:val="2"/>
        </w:numPr>
        <w:autoSpaceDE w:val="0"/>
        <w:autoSpaceDN w:val="0"/>
        <w:adjustRightInd w:val="0"/>
        <w:spacing w:line="360" w:lineRule="auto"/>
        <w:jc w:val="left"/>
        <w:rPr>
          <w:rFonts w:ascii="仿宋_GB2312" w:eastAsia="仿宋_GB2312"/>
          <w:sz w:val="28"/>
          <w:szCs w:val="28"/>
        </w:rPr>
      </w:pPr>
      <w:r>
        <w:rPr>
          <w:rFonts w:hint="eastAsia" w:ascii="仿宋_GB2312" w:eastAsia="仿宋_GB2312"/>
          <w:sz w:val="28"/>
          <w:szCs w:val="28"/>
        </w:rPr>
        <w:t>根据《职业病危害预评价导则》等法律法规，编制本项目职业病危害预评价报告书，组织召开专家评审会并根据评审会专家审查意见限期完成修订工作，直至最终通过专家评审。</w:t>
      </w:r>
    </w:p>
    <w:p>
      <w:pPr>
        <w:numPr>
          <w:ilvl w:val="0"/>
          <w:numId w:val="2"/>
        </w:numPr>
        <w:autoSpaceDE w:val="0"/>
        <w:autoSpaceDN w:val="0"/>
        <w:adjustRightInd w:val="0"/>
        <w:spacing w:line="360" w:lineRule="auto"/>
        <w:jc w:val="left"/>
        <w:rPr>
          <w:rFonts w:ascii="仿宋_GB2312" w:eastAsia="仿宋_GB2312"/>
          <w:sz w:val="28"/>
          <w:szCs w:val="28"/>
        </w:rPr>
      </w:pPr>
      <w:r>
        <w:rPr>
          <w:rFonts w:hint="eastAsia" w:ascii="仿宋_GB2312" w:eastAsia="仿宋_GB2312"/>
          <w:sz w:val="28"/>
          <w:szCs w:val="28"/>
        </w:rPr>
        <w:t>编制的项目职业病危害预评价报告书须符合国家和地方政府相应的各项法律、法规、标准和规范。</w:t>
      </w:r>
    </w:p>
    <w:p>
      <w:pPr>
        <w:numPr>
          <w:ilvl w:val="0"/>
          <w:numId w:val="2"/>
        </w:numPr>
        <w:autoSpaceDE w:val="0"/>
        <w:autoSpaceDN w:val="0"/>
        <w:adjustRightInd w:val="0"/>
        <w:spacing w:line="360" w:lineRule="auto"/>
        <w:jc w:val="left"/>
        <w:rPr>
          <w:rFonts w:ascii="仿宋_GB2312" w:eastAsia="仿宋_GB2312"/>
          <w:sz w:val="28"/>
          <w:szCs w:val="28"/>
        </w:rPr>
      </w:pPr>
      <w:r>
        <w:rPr>
          <w:rFonts w:hint="eastAsia" w:ascii="仿宋_GB2312" w:eastAsia="仿宋_GB2312"/>
          <w:sz w:val="28"/>
          <w:szCs w:val="28"/>
        </w:rPr>
        <w:t>乙方负责组织专家评审会，乙方负责报告评审时汇报和解释评审专家提出的问题，甲方协助完成评审工作。乙方报价需包含专家评审会专家费、会议费、餐费、交通费、住宿费等全部费用。</w:t>
      </w:r>
    </w:p>
    <w:p>
      <w:pPr>
        <w:numPr>
          <w:ilvl w:val="0"/>
          <w:numId w:val="2"/>
        </w:numPr>
        <w:autoSpaceDE w:val="0"/>
        <w:autoSpaceDN w:val="0"/>
        <w:adjustRightInd w:val="0"/>
        <w:spacing w:line="360" w:lineRule="auto"/>
        <w:jc w:val="left"/>
        <w:rPr>
          <w:rFonts w:ascii="仿宋_GB2312" w:eastAsia="仿宋_GB2312"/>
          <w:sz w:val="28"/>
          <w:szCs w:val="28"/>
        </w:rPr>
      </w:pPr>
      <w:r>
        <w:rPr>
          <w:rFonts w:hint="eastAsia" w:ascii="仿宋_GB2312" w:eastAsia="仿宋_GB2312"/>
          <w:sz w:val="28"/>
          <w:szCs w:val="28"/>
        </w:rPr>
        <w:t>乙方需全程参与本项目评审工作，并根据评审意见对报告进行修改。</w:t>
      </w:r>
    </w:p>
    <w:p>
      <w:pPr>
        <w:numPr>
          <w:ilvl w:val="0"/>
          <w:numId w:val="2"/>
        </w:numPr>
        <w:autoSpaceDE w:val="0"/>
        <w:autoSpaceDN w:val="0"/>
        <w:adjustRightInd w:val="0"/>
        <w:spacing w:line="360" w:lineRule="auto"/>
        <w:jc w:val="left"/>
        <w:rPr>
          <w:rFonts w:ascii="仿宋_GB2312" w:eastAsia="仿宋_GB2312"/>
          <w:sz w:val="28"/>
          <w:szCs w:val="28"/>
        </w:rPr>
      </w:pPr>
      <w:r>
        <w:rPr>
          <w:rFonts w:hint="eastAsia" w:ascii="仿宋_GB2312" w:eastAsia="仿宋_GB2312"/>
          <w:sz w:val="28"/>
          <w:szCs w:val="28"/>
        </w:rPr>
        <w:t>本项目工作成果的验收方法:通过专家评审及政府相关监管部门认可，并由甲方审查确认。</w:t>
      </w:r>
    </w:p>
    <w:p>
      <w:pPr>
        <w:numPr>
          <w:ilvl w:val="0"/>
          <w:numId w:val="2"/>
        </w:numPr>
        <w:autoSpaceDE w:val="0"/>
        <w:autoSpaceDN w:val="0"/>
        <w:adjustRightInd w:val="0"/>
        <w:spacing w:line="360" w:lineRule="auto"/>
        <w:jc w:val="left"/>
        <w:rPr>
          <w:rFonts w:ascii="仿宋_GB2312" w:eastAsia="仿宋_GB2312"/>
          <w:sz w:val="28"/>
          <w:szCs w:val="28"/>
        </w:rPr>
      </w:pPr>
      <w:r>
        <w:rPr>
          <w:rFonts w:hint="eastAsia" w:ascii="仿宋_GB2312" w:eastAsia="仿宋_GB2312"/>
          <w:sz w:val="28"/>
          <w:szCs w:val="28"/>
        </w:rPr>
        <w:t>本项目职业病危害预评价报告书评审通过或经修改后获专家及政府监管部门认可均为验收合格。如因编制不规范致使本项目报告书未通过专家评审或行政主管部门不认可则视为验收不合格。</w:t>
      </w:r>
    </w:p>
    <w:p>
      <w:pPr>
        <w:numPr>
          <w:ilvl w:val="0"/>
          <w:numId w:val="2"/>
        </w:numPr>
        <w:autoSpaceDE w:val="0"/>
        <w:autoSpaceDN w:val="0"/>
        <w:adjustRightInd w:val="0"/>
        <w:spacing w:line="360" w:lineRule="auto"/>
        <w:jc w:val="left"/>
        <w:rPr>
          <w:rFonts w:ascii="仿宋_GB2312" w:eastAsia="仿宋_GB2312"/>
          <w:sz w:val="28"/>
          <w:szCs w:val="28"/>
        </w:rPr>
      </w:pPr>
      <w:r>
        <w:rPr>
          <w:rFonts w:hint="eastAsia" w:ascii="仿宋_GB2312" w:eastAsia="仿宋_GB2312"/>
          <w:sz w:val="28"/>
          <w:szCs w:val="28"/>
        </w:rPr>
        <w:t>如甲方在开展相关工作过程中，需乙方进一步完善或重新提交的，乙方应在合同规定的责任范围内无条件配合开展相关工作，直到符合要求为止，完成时间以双方商定为准，由此造成的拖延以逾期完工论。</w:t>
      </w:r>
    </w:p>
    <w:p>
      <w:pPr>
        <w:numPr>
          <w:ilvl w:val="0"/>
          <w:numId w:val="2"/>
        </w:numPr>
        <w:autoSpaceDE w:val="0"/>
        <w:autoSpaceDN w:val="0"/>
        <w:adjustRightInd w:val="0"/>
        <w:spacing w:line="360" w:lineRule="auto"/>
        <w:jc w:val="left"/>
        <w:rPr>
          <w:rFonts w:ascii="仿宋_GB2312" w:eastAsia="仿宋_GB2312"/>
          <w:sz w:val="28"/>
          <w:szCs w:val="28"/>
        </w:rPr>
      </w:pPr>
      <w:r>
        <w:rPr>
          <w:rFonts w:hint="eastAsia" w:ascii="仿宋_GB2312" w:eastAsia="仿宋_GB2312"/>
          <w:sz w:val="28"/>
          <w:szCs w:val="28"/>
        </w:rPr>
        <w:t>乙方提交技术咨询工作成果的形式:全部成果以书面报告书及相关图件方式提交甲方使用，通过审批后，除去已提交政府部门及专家评审用的报告，还应提交成果报告数量为:正式版本一式8套及包括WORD版（内容不设置复制权限）、PDF版电子文档（含图件、附件)的硬拷贝2份。</w:t>
      </w:r>
    </w:p>
    <w:p>
      <w:pPr>
        <w:spacing w:line="360" w:lineRule="auto"/>
        <w:rPr>
          <w:rFonts w:ascii="仿宋_GB2312" w:eastAsia="仿宋_GB2312"/>
          <w:b/>
          <w:sz w:val="28"/>
          <w:szCs w:val="28"/>
        </w:rPr>
      </w:pPr>
      <w:r>
        <w:rPr>
          <w:rFonts w:ascii="仿宋_GB2312" w:eastAsia="仿宋_GB2312"/>
          <w:b/>
          <w:sz w:val="28"/>
          <w:szCs w:val="28"/>
        </w:rPr>
        <w:t>六</w:t>
      </w:r>
      <w:r>
        <w:rPr>
          <w:rFonts w:hint="eastAsia" w:ascii="仿宋_GB2312" w:eastAsia="仿宋_GB2312"/>
          <w:b/>
          <w:sz w:val="28"/>
          <w:szCs w:val="28"/>
        </w:rPr>
        <w:t>、进度要求</w:t>
      </w:r>
    </w:p>
    <w:p>
      <w:pPr>
        <w:autoSpaceDE w:val="0"/>
        <w:autoSpaceDN w:val="0"/>
        <w:adjustRightInd w:val="0"/>
        <w:spacing w:line="360" w:lineRule="auto"/>
        <w:ind w:left="720" w:firstLine="560" w:firstLineChars="200"/>
        <w:jc w:val="left"/>
        <w:rPr>
          <w:rFonts w:ascii="仿宋_GB2312" w:eastAsia="仿宋_GB2312"/>
          <w:sz w:val="28"/>
          <w:szCs w:val="28"/>
        </w:rPr>
      </w:pPr>
      <w:r>
        <w:rPr>
          <w:rFonts w:hint="eastAsia" w:ascii="仿宋_GB2312" w:eastAsia="仿宋_GB2312"/>
          <w:sz w:val="28"/>
          <w:szCs w:val="28"/>
        </w:rPr>
        <w:t>乙方于202</w:t>
      </w:r>
      <w:r>
        <w:rPr>
          <w:rFonts w:ascii="仿宋_GB2312" w:eastAsia="仿宋_GB2312"/>
          <w:sz w:val="28"/>
          <w:szCs w:val="28"/>
        </w:rPr>
        <w:t>4</w:t>
      </w:r>
      <w:r>
        <w:rPr>
          <w:rFonts w:hint="eastAsia" w:ascii="仿宋_GB2312" w:eastAsia="仿宋_GB2312"/>
          <w:sz w:val="28"/>
          <w:szCs w:val="28"/>
        </w:rPr>
        <w:t>年</w:t>
      </w:r>
      <w:r>
        <w:rPr>
          <w:rFonts w:ascii="仿宋_GB2312" w:eastAsia="仿宋_GB2312"/>
          <w:sz w:val="28"/>
          <w:szCs w:val="28"/>
        </w:rPr>
        <w:t>5</w:t>
      </w:r>
      <w:r>
        <w:rPr>
          <w:rFonts w:hint="eastAsia" w:ascii="仿宋_GB2312" w:eastAsia="仿宋_GB2312"/>
          <w:sz w:val="28"/>
          <w:szCs w:val="28"/>
        </w:rPr>
        <w:t>月3</w:t>
      </w:r>
      <w:r>
        <w:rPr>
          <w:rFonts w:ascii="仿宋_GB2312" w:eastAsia="仿宋_GB2312"/>
          <w:sz w:val="28"/>
          <w:szCs w:val="28"/>
        </w:rPr>
        <w:t>1</w:t>
      </w:r>
      <w:r>
        <w:rPr>
          <w:rFonts w:hint="eastAsia" w:ascii="仿宋_GB2312" w:eastAsia="仿宋_GB2312"/>
          <w:sz w:val="28"/>
          <w:szCs w:val="28"/>
        </w:rPr>
        <w:t>日前完成项目职业病危害预评价报告和职业病防护设施设计专篇的编写、评审及专家意见修改确认，并提交送审版报告协助甲方完成政府部门备案。</w:t>
      </w:r>
    </w:p>
    <w:p>
      <w:pPr>
        <w:spacing w:line="360" w:lineRule="auto"/>
        <w:rPr>
          <w:rFonts w:ascii="仿宋_GB2312" w:eastAsia="仿宋_GB2312"/>
          <w:b/>
          <w:sz w:val="28"/>
          <w:szCs w:val="28"/>
        </w:rPr>
      </w:pPr>
      <w:r>
        <w:rPr>
          <w:rFonts w:ascii="仿宋_GB2312" w:eastAsia="仿宋_GB2312"/>
          <w:b/>
          <w:sz w:val="28"/>
          <w:szCs w:val="28"/>
        </w:rPr>
        <w:t>七</w:t>
      </w:r>
      <w:r>
        <w:rPr>
          <w:rFonts w:hint="eastAsia" w:ascii="仿宋_GB2312" w:eastAsia="仿宋_GB2312"/>
          <w:b/>
          <w:sz w:val="28"/>
          <w:szCs w:val="28"/>
        </w:rPr>
        <w:t>、保密:</w:t>
      </w:r>
    </w:p>
    <w:p>
      <w:pPr>
        <w:numPr>
          <w:ilvl w:val="0"/>
          <w:numId w:val="3"/>
        </w:numPr>
        <w:autoSpaceDE w:val="0"/>
        <w:autoSpaceDN w:val="0"/>
        <w:adjustRightInd w:val="0"/>
        <w:spacing w:line="360" w:lineRule="auto"/>
        <w:jc w:val="left"/>
        <w:rPr>
          <w:rFonts w:ascii="仿宋_GB2312" w:eastAsia="仿宋_GB2312"/>
          <w:sz w:val="28"/>
          <w:szCs w:val="28"/>
        </w:rPr>
      </w:pPr>
      <w:r>
        <w:rPr>
          <w:rFonts w:hint="eastAsia" w:ascii="仿宋_GB2312" w:eastAsia="仿宋_GB2312"/>
          <w:sz w:val="28"/>
          <w:szCs w:val="28"/>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sectPr>
      <w:footerReference r:id="rId3" w:type="default"/>
      <w:footerReference r:id="rId4" w:type="even"/>
      <w:pgSz w:w="12240" w:h="15840"/>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96BDC"/>
    <w:multiLevelType w:val="multilevel"/>
    <w:tmpl w:val="04F96BDC"/>
    <w:lvl w:ilvl="0" w:tentative="0">
      <w:start w:val="1"/>
      <w:numFmt w:val="decimal"/>
      <w:lvlText w:val="(%1)"/>
      <w:lvlJc w:val="left"/>
      <w:pPr>
        <w:tabs>
          <w:tab w:val="left" w:pos="720"/>
        </w:tabs>
        <w:ind w:left="720" w:hanging="72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B90928"/>
    <w:multiLevelType w:val="multilevel"/>
    <w:tmpl w:val="1DB90928"/>
    <w:lvl w:ilvl="0" w:tentative="0">
      <w:start w:val="1"/>
      <w:numFmt w:val="japaneseCounting"/>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440E2D"/>
    <w:multiLevelType w:val="multilevel"/>
    <w:tmpl w:val="3D440E2D"/>
    <w:lvl w:ilvl="0" w:tentative="0">
      <w:start w:val="1"/>
      <w:numFmt w:val="decimal"/>
      <w:lvlText w:val="(%1)"/>
      <w:lvlJc w:val="left"/>
      <w:pPr>
        <w:tabs>
          <w:tab w:val="left" w:pos="720"/>
        </w:tabs>
        <w:ind w:left="720" w:hanging="72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wZDdhODNlMmM3NjQ3OGUyNjYwYTRmNmIzZTYzMjQifQ=="/>
  </w:docVars>
  <w:rsids>
    <w:rsidRoot w:val="002F08E7"/>
    <w:rsid w:val="000075DB"/>
    <w:rsid w:val="00011DAF"/>
    <w:rsid w:val="00021799"/>
    <w:rsid w:val="000223A4"/>
    <w:rsid w:val="000234D8"/>
    <w:rsid w:val="00025C35"/>
    <w:rsid w:val="0002703B"/>
    <w:rsid w:val="0004158E"/>
    <w:rsid w:val="00051083"/>
    <w:rsid w:val="000522DB"/>
    <w:rsid w:val="00053609"/>
    <w:rsid w:val="00054857"/>
    <w:rsid w:val="00057151"/>
    <w:rsid w:val="0006042B"/>
    <w:rsid w:val="0006218D"/>
    <w:rsid w:val="00062B76"/>
    <w:rsid w:val="00064110"/>
    <w:rsid w:val="0006414A"/>
    <w:rsid w:val="00067CAD"/>
    <w:rsid w:val="00070E62"/>
    <w:rsid w:val="00071153"/>
    <w:rsid w:val="000805CC"/>
    <w:rsid w:val="00085ECC"/>
    <w:rsid w:val="00092B6D"/>
    <w:rsid w:val="000959CC"/>
    <w:rsid w:val="00096158"/>
    <w:rsid w:val="00096BAF"/>
    <w:rsid w:val="000A44E8"/>
    <w:rsid w:val="000B2D7D"/>
    <w:rsid w:val="000B5DA4"/>
    <w:rsid w:val="000B708A"/>
    <w:rsid w:val="000C02AD"/>
    <w:rsid w:val="000C3255"/>
    <w:rsid w:val="000C3404"/>
    <w:rsid w:val="000C4CA1"/>
    <w:rsid w:val="000D16F9"/>
    <w:rsid w:val="000D3A76"/>
    <w:rsid w:val="000D46E7"/>
    <w:rsid w:val="000D61E8"/>
    <w:rsid w:val="000D6BF2"/>
    <w:rsid w:val="000E39D2"/>
    <w:rsid w:val="000E49DD"/>
    <w:rsid w:val="000E7272"/>
    <w:rsid w:val="000F224B"/>
    <w:rsid w:val="000F643C"/>
    <w:rsid w:val="000F7C62"/>
    <w:rsid w:val="00101ED5"/>
    <w:rsid w:val="0010375D"/>
    <w:rsid w:val="00104767"/>
    <w:rsid w:val="00104F8B"/>
    <w:rsid w:val="00110EB0"/>
    <w:rsid w:val="0011519B"/>
    <w:rsid w:val="00121AD5"/>
    <w:rsid w:val="00123453"/>
    <w:rsid w:val="0012504B"/>
    <w:rsid w:val="001269FA"/>
    <w:rsid w:val="0013147A"/>
    <w:rsid w:val="0013342A"/>
    <w:rsid w:val="00133718"/>
    <w:rsid w:val="001421E0"/>
    <w:rsid w:val="00143E3D"/>
    <w:rsid w:val="001460DA"/>
    <w:rsid w:val="00150FF1"/>
    <w:rsid w:val="0015707A"/>
    <w:rsid w:val="00165872"/>
    <w:rsid w:val="00166868"/>
    <w:rsid w:val="0017252A"/>
    <w:rsid w:val="00172C28"/>
    <w:rsid w:val="00176A36"/>
    <w:rsid w:val="00177A08"/>
    <w:rsid w:val="00184628"/>
    <w:rsid w:val="00192FAD"/>
    <w:rsid w:val="001941A1"/>
    <w:rsid w:val="001959D9"/>
    <w:rsid w:val="001A02BA"/>
    <w:rsid w:val="001A056C"/>
    <w:rsid w:val="001A37EC"/>
    <w:rsid w:val="001A3C33"/>
    <w:rsid w:val="001A5976"/>
    <w:rsid w:val="001B5DA5"/>
    <w:rsid w:val="001B67A5"/>
    <w:rsid w:val="001B68E0"/>
    <w:rsid w:val="001B7F6A"/>
    <w:rsid w:val="001C5A93"/>
    <w:rsid w:val="001C6F26"/>
    <w:rsid w:val="001C7000"/>
    <w:rsid w:val="001D540D"/>
    <w:rsid w:val="001F70D8"/>
    <w:rsid w:val="001F74A8"/>
    <w:rsid w:val="0020525B"/>
    <w:rsid w:val="002059C5"/>
    <w:rsid w:val="002115D0"/>
    <w:rsid w:val="00221595"/>
    <w:rsid w:val="002260BB"/>
    <w:rsid w:val="0022795F"/>
    <w:rsid w:val="00227E81"/>
    <w:rsid w:val="00232AD7"/>
    <w:rsid w:val="002407D3"/>
    <w:rsid w:val="00245FFB"/>
    <w:rsid w:val="00251526"/>
    <w:rsid w:val="00252B6F"/>
    <w:rsid w:val="00254481"/>
    <w:rsid w:val="00257AAD"/>
    <w:rsid w:val="00262323"/>
    <w:rsid w:val="00265D6A"/>
    <w:rsid w:val="00267D22"/>
    <w:rsid w:val="0027152F"/>
    <w:rsid w:val="0027176F"/>
    <w:rsid w:val="00277DE2"/>
    <w:rsid w:val="00280728"/>
    <w:rsid w:val="00281D0E"/>
    <w:rsid w:val="0028279D"/>
    <w:rsid w:val="00291157"/>
    <w:rsid w:val="00293BAA"/>
    <w:rsid w:val="002A2F68"/>
    <w:rsid w:val="002A5CC5"/>
    <w:rsid w:val="002A65E2"/>
    <w:rsid w:val="002B24B6"/>
    <w:rsid w:val="002B46A0"/>
    <w:rsid w:val="002B58AE"/>
    <w:rsid w:val="002B6EAD"/>
    <w:rsid w:val="002C4890"/>
    <w:rsid w:val="002D4572"/>
    <w:rsid w:val="002D7321"/>
    <w:rsid w:val="002E0BF9"/>
    <w:rsid w:val="002F0052"/>
    <w:rsid w:val="002F013E"/>
    <w:rsid w:val="002F08E7"/>
    <w:rsid w:val="002F0FFB"/>
    <w:rsid w:val="002F4C37"/>
    <w:rsid w:val="002F4D57"/>
    <w:rsid w:val="002F7E67"/>
    <w:rsid w:val="00301E55"/>
    <w:rsid w:val="00303867"/>
    <w:rsid w:val="00303C9B"/>
    <w:rsid w:val="0030708E"/>
    <w:rsid w:val="0030789F"/>
    <w:rsid w:val="00312010"/>
    <w:rsid w:val="00313185"/>
    <w:rsid w:val="003245FA"/>
    <w:rsid w:val="00326B9D"/>
    <w:rsid w:val="00326CA1"/>
    <w:rsid w:val="003358C8"/>
    <w:rsid w:val="00336B5E"/>
    <w:rsid w:val="00337E6D"/>
    <w:rsid w:val="003416B4"/>
    <w:rsid w:val="003418CF"/>
    <w:rsid w:val="00347D7E"/>
    <w:rsid w:val="003500DD"/>
    <w:rsid w:val="00350D3E"/>
    <w:rsid w:val="00353280"/>
    <w:rsid w:val="0035350C"/>
    <w:rsid w:val="003539B1"/>
    <w:rsid w:val="003558F3"/>
    <w:rsid w:val="00356955"/>
    <w:rsid w:val="00361D28"/>
    <w:rsid w:val="003650F6"/>
    <w:rsid w:val="00370379"/>
    <w:rsid w:val="00374001"/>
    <w:rsid w:val="00374352"/>
    <w:rsid w:val="00380A7B"/>
    <w:rsid w:val="00380E73"/>
    <w:rsid w:val="00381283"/>
    <w:rsid w:val="003813EA"/>
    <w:rsid w:val="00383AB9"/>
    <w:rsid w:val="00384502"/>
    <w:rsid w:val="003876CF"/>
    <w:rsid w:val="00390ADE"/>
    <w:rsid w:val="00392332"/>
    <w:rsid w:val="0039686F"/>
    <w:rsid w:val="003A217C"/>
    <w:rsid w:val="003A3614"/>
    <w:rsid w:val="003A3CE4"/>
    <w:rsid w:val="003A710B"/>
    <w:rsid w:val="003B0187"/>
    <w:rsid w:val="003B16A9"/>
    <w:rsid w:val="003B35BF"/>
    <w:rsid w:val="003C0E9C"/>
    <w:rsid w:val="003C4F94"/>
    <w:rsid w:val="003C61E2"/>
    <w:rsid w:val="003C735A"/>
    <w:rsid w:val="003D615D"/>
    <w:rsid w:val="003E1CF8"/>
    <w:rsid w:val="003E2717"/>
    <w:rsid w:val="003F2095"/>
    <w:rsid w:val="003F2487"/>
    <w:rsid w:val="003F291E"/>
    <w:rsid w:val="003F2D94"/>
    <w:rsid w:val="003F5F08"/>
    <w:rsid w:val="004016D5"/>
    <w:rsid w:val="00404E97"/>
    <w:rsid w:val="00412665"/>
    <w:rsid w:val="004179C5"/>
    <w:rsid w:val="0042021A"/>
    <w:rsid w:val="00421BE2"/>
    <w:rsid w:val="0042435D"/>
    <w:rsid w:val="00431563"/>
    <w:rsid w:val="00431E57"/>
    <w:rsid w:val="0043400E"/>
    <w:rsid w:val="00434EDC"/>
    <w:rsid w:val="004413FB"/>
    <w:rsid w:val="00444F0D"/>
    <w:rsid w:val="00445BE1"/>
    <w:rsid w:val="0044701D"/>
    <w:rsid w:val="00466CB0"/>
    <w:rsid w:val="00467E51"/>
    <w:rsid w:val="00486953"/>
    <w:rsid w:val="00494625"/>
    <w:rsid w:val="004959B4"/>
    <w:rsid w:val="00495B4A"/>
    <w:rsid w:val="004A0B2C"/>
    <w:rsid w:val="004A6311"/>
    <w:rsid w:val="004A71C4"/>
    <w:rsid w:val="004B4040"/>
    <w:rsid w:val="004B40FD"/>
    <w:rsid w:val="004B7A21"/>
    <w:rsid w:val="004C0D8D"/>
    <w:rsid w:val="004C3FC6"/>
    <w:rsid w:val="004D0DA8"/>
    <w:rsid w:val="004D142D"/>
    <w:rsid w:val="004D253F"/>
    <w:rsid w:val="004D3846"/>
    <w:rsid w:val="004E1B9A"/>
    <w:rsid w:val="004E40C1"/>
    <w:rsid w:val="004E6A97"/>
    <w:rsid w:val="004F138D"/>
    <w:rsid w:val="004F1917"/>
    <w:rsid w:val="004F364B"/>
    <w:rsid w:val="004F5F45"/>
    <w:rsid w:val="004F7C7A"/>
    <w:rsid w:val="005005E8"/>
    <w:rsid w:val="0050763C"/>
    <w:rsid w:val="0051111E"/>
    <w:rsid w:val="0051153C"/>
    <w:rsid w:val="00516090"/>
    <w:rsid w:val="00520DCA"/>
    <w:rsid w:val="00527672"/>
    <w:rsid w:val="00527DF4"/>
    <w:rsid w:val="0053259B"/>
    <w:rsid w:val="00536658"/>
    <w:rsid w:val="005406EF"/>
    <w:rsid w:val="0054089C"/>
    <w:rsid w:val="00544C4C"/>
    <w:rsid w:val="00545C08"/>
    <w:rsid w:val="00545CE1"/>
    <w:rsid w:val="005466F2"/>
    <w:rsid w:val="00552217"/>
    <w:rsid w:val="00556C2E"/>
    <w:rsid w:val="005663BB"/>
    <w:rsid w:val="00575553"/>
    <w:rsid w:val="005804CA"/>
    <w:rsid w:val="005806F6"/>
    <w:rsid w:val="00580C7A"/>
    <w:rsid w:val="00581349"/>
    <w:rsid w:val="0058194B"/>
    <w:rsid w:val="0058224D"/>
    <w:rsid w:val="005A1118"/>
    <w:rsid w:val="005A3E0E"/>
    <w:rsid w:val="005B5C20"/>
    <w:rsid w:val="005C3D30"/>
    <w:rsid w:val="005C4317"/>
    <w:rsid w:val="005C5E01"/>
    <w:rsid w:val="005C61F4"/>
    <w:rsid w:val="005C62FB"/>
    <w:rsid w:val="005C7A50"/>
    <w:rsid w:val="005D22E9"/>
    <w:rsid w:val="005D778A"/>
    <w:rsid w:val="005E015D"/>
    <w:rsid w:val="005E4379"/>
    <w:rsid w:val="005E4C29"/>
    <w:rsid w:val="005E517A"/>
    <w:rsid w:val="005E610A"/>
    <w:rsid w:val="005F01A9"/>
    <w:rsid w:val="005F34C6"/>
    <w:rsid w:val="005F4386"/>
    <w:rsid w:val="00605A72"/>
    <w:rsid w:val="00607944"/>
    <w:rsid w:val="00607A95"/>
    <w:rsid w:val="00610FA9"/>
    <w:rsid w:val="006143E7"/>
    <w:rsid w:val="00622D89"/>
    <w:rsid w:val="00623351"/>
    <w:rsid w:val="006242F9"/>
    <w:rsid w:val="006249D1"/>
    <w:rsid w:val="0062560B"/>
    <w:rsid w:val="0062727C"/>
    <w:rsid w:val="006334CF"/>
    <w:rsid w:val="006364C7"/>
    <w:rsid w:val="00642D0E"/>
    <w:rsid w:val="00653917"/>
    <w:rsid w:val="00662FE1"/>
    <w:rsid w:val="006634EA"/>
    <w:rsid w:val="00663E68"/>
    <w:rsid w:val="006660F1"/>
    <w:rsid w:val="00675540"/>
    <w:rsid w:val="0067634C"/>
    <w:rsid w:val="00677F1E"/>
    <w:rsid w:val="00683658"/>
    <w:rsid w:val="00683689"/>
    <w:rsid w:val="0068407E"/>
    <w:rsid w:val="0068634E"/>
    <w:rsid w:val="006876C1"/>
    <w:rsid w:val="006924CA"/>
    <w:rsid w:val="006A6FA1"/>
    <w:rsid w:val="006A73AC"/>
    <w:rsid w:val="006A7E38"/>
    <w:rsid w:val="006B0449"/>
    <w:rsid w:val="006B54C7"/>
    <w:rsid w:val="006B6507"/>
    <w:rsid w:val="006B7753"/>
    <w:rsid w:val="006C2827"/>
    <w:rsid w:val="006C5E18"/>
    <w:rsid w:val="006C67FF"/>
    <w:rsid w:val="006D1ED1"/>
    <w:rsid w:val="006D3FD4"/>
    <w:rsid w:val="006D4385"/>
    <w:rsid w:val="006D4CE0"/>
    <w:rsid w:val="006D532D"/>
    <w:rsid w:val="006D62AF"/>
    <w:rsid w:val="006D658E"/>
    <w:rsid w:val="006D7AB2"/>
    <w:rsid w:val="006E2C0C"/>
    <w:rsid w:val="006F1456"/>
    <w:rsid w:val="006F2DCE"/>
    <w:rsid w:val="00700328"/>
    <w:rsid w:val="007028E4"/>
    <w:rsid w:val="0070443C"/>
    <w:rsid w:val="007107C3"/>
    <w:rsid w:val="00713400"/>
    <w:rsid w:val="007174A9"/>
    <w:rsid w:val="00720BBB"/>
    <w:rsid w:val="00720C7C"/>
    <w:rsid w:val="00720E56"/>
    <w:rsid w:val="00722FD6"/>
    <w:rsid w:val="00730382"/>
    <w:rsid w:val="00730B35"/>
    <w:rsid w:val="0073151F"/>
    <w:rsid w:val="00733974"/>
    <w:rsid w:val="00734AEA"/>
    <w:rsid w:val="00734BD8"/>
    <w:rsid w:val="00743092"/>
    <w:rsid w:val="00746519"/>
    <w:rsid w:val="00746B79"/>
    <w:rsid w:val="00751075"/>
    <w:rsid w:val="00753B83"/>
    <w:rsid w:val="0075611B"/>
    <w:rsid w:val="0075695F"/>
    <w:rsid w:val="00764A2A"/>
    <w:rsid w:val="007711E0"/>
    <w:rsid w:val="00772D4F"/>
    <w:rsid w:val="007743A9"/>
    <w:rsid w:val="0077547B"/>
    <w:rsid w:val="007766C8"/>
    <w:rsid w:val="00784B4C"/>
    <w:rsid w:val="007865C5"/>
    <w:rsid w:val="00790982"/>
    <w:rsid w:val="00790E65"/>
    <w:rsid w:val="0079321E"/>
    <w:rsid w:val="00793B9C"/>
    <w:rsid w:val="00796F96"/>
    <w:rsid w:val="007A2B25"/>
    <w:rsid w:val="007A31E5"/>
    <w:rsid w:val="007A4809"/>
    <w:rsid w:val="007B40A6"/>
    <w:rsid w:val="007B4509"/>
    <w:rsid w:val="007B754D"/>
    <w:rsid w:val="007C0451"/>
    <w:rsid w:val="007C13CB"/>
    <w:rsid w:val="007C1585"/>
    <w:rsid w:val="007C2556"/>
    <w:rsid w:val="007C4401"/>
    <w:rsid w:val="007D37D6"/>
    <w:rsid w:val="007D4FFC"/>
    <w:rsid w:val="007D5908"/>
    <w:rsid w:val="007D5CE8"/>
    <w:rsid w:val="007D661F"/>
    <w:rsid w:val="007E2BF6"/>
    <w:rsid w:val="007E4563"/>
    <w:rsid w:val="007E66CC"/>
    <w:rsid w:val="007E68F7"/>
    <w:rsid w:val="007E7252"/>
    <w:rsid w:val="007F40C9"/>
    <w:rsid w:val="007F690C"/>
    <w:rsid w:val="008012A3"/>
    <w:rsid w:val="0080687C"/>
    <w:rsid w:val="00806D04"/>
    <w:rsid w:val="00806E20"/>
    <w:rsid w:val="00807E36"/>
    <w:rsid w:val="00810921"/>
    <w:rsid w:val="0081533E"/>
    <w:rsid w:val="00816DC4"/>
    <w:rsid w:val="00822846"/>
    <w:rsid w:val="00824E54"/>
    <w:rsid w:val="00831FFC"/>
    <w:rsid w:val="008400F1"/>
    <w:rsid w:val="00846483"/>
    <w:rsid w:val="008530E8"/>
    <w:rsid w:val="00853215"/>
    <w:rsid w:val="008619A1"/>
    <w:rsid w:val="00863801"/>
    <w:rsid w:val="008658D7"/>
    <w:rsid w:val="00870156"/>
    <w:rsid w:val="00870F19"/>
    <w:rsid w:val="00887514"/>
    <w:rsid w:val="008936CA"/>
    <w:rsid w:val="00893892"/>
    <w:rsid w:val="00896D57"/>
    <w:rsid w:val="008A1FFC"/>
    <w:rsid w:val="008A695F"/>
    <w:rsid w:val="008A6CA0"/>
    <w:rsid w:val="008A762B"/>
    <w:rsid w:val="008A7CBB"/>
    <w:rsid w:val="008B20B2"/>
    <w:rsid w:val="008B300A"/>
    <w:rsid w:val="008B41CD"/>
    <w:rsid w:val="008D467E"/>
    <w:rsid w:val="008D5964"/>
    <w:rsid w:val="008D6A5F"/>
    <w:rsid w:val="008E227B"/>
    <w:rsid w:val="008E27E2"/>
    <w:rsid w:val="008E4466"/>
    <w:rsid w:val="008E701F"/>
    <w:rsid w:val="008F5AA1"/>
    <w:rsid w:val="009006A9"/>
    <w:rsid w:val="00900F12"/>
    <w:rsid w:val="00900F13"/>
    <w:rsid w:val="00902632"/>
    <w:rsid w:val="009046DD"/>
    <w:rsid w:val="00910694"/>
    <w:rsid w:val="00910A29"/>
    <w:rsid w:val="00911144"/>
    <w:rsid w:val="00911F2A"/>
    <w:rsid w:val="009144BC"/>
    <w:rsid w:val="00922FA1"/>
    <w:rsid w:val="00924CFB"/>
    <w:rsid w:val="00931E63"/>
    <w:rsid w:val="009334DC"/>
    <w:rsid w:val="009349F5"/>
    <w:rsid w:val="009358C8"/>
    <w:rsid w:val="00935BCB"/>
    <w:rsid w:val="00936069"/>
    <w:rsid w:val="00936DCA"/>
    <w:rsid w:val="00940B98"/>
    <w:rsid w:val="00940D32"/>
    <w:rsid w:val="009442CC"/>
    <w:rsid w:val="00944B40"/>
    <w:rsid w:val="00946361"/>
    <w:rsid w:val="0094656A"/>
    <w:rsid w:val="00950351"/>
    <w:rsid w:val="00950A9A"/>
    <w:rsid w:val="0095285E"/>
    <w:rsid w:val="00952ABA"/>
    <w:rsid w:val="00954D17"/>
    <w:rsid w:val="0095679A"/>
    <w:rsid w:val="0096137B"/>
    <w:rsid w:val="009630B1"/>
    <w:rsid w:val="00966532"/>
    <w:rsid w:val="00966CF2"/>
    <w:rsid w:val="00967BD6"/>
    <w:rsid w:val="009710B5"/>
    <w:rsid w:val="00973ADF"/>
    <w:rsid w:val="00975D26"/>
    <w:rsid w:val="00981AC1"/>
    <w:rsid w:val="009842BA"/>
    <w:rsid w:val="00986DEC"/>
    <w:rsid w:val="00986E22"/>
    <w:rsid w:val="00993AEC"/>
    <w:rsid w:val="00995544"/>
    <w:rsid w:val="00995A68"/>
    <w:rsid w:val="00997BB6"/>
    <w:rsid w:val="00997F19"/>
    <w:rsid w:val="009A3B69"/>
    <w:rsid w:val="009B2237"/>
    <w:rsid w:val="009B3051"/>
    <w:rsid w:val="009B5102"/>
    <w:rsid w:val="009B7CDE"/>
    <w:rsid w:val="009C08AA"/>
    <w:rsid w:val="009C13C7"/>
    <w:rsid w:val="009C235B"/>
    <w:rsid w:val="009D39F6"/>
    <w:rsid w:val="009E0578"/>
    <w:rsid w:val="009E5EE9"/>
    <w:rsid w:val="009F28CC"/>
    <w:rsid w:val="009F58D2"/>
    <w:rsid w:val="009F7AEE"/>
    <w:rsid w:val="00A06E57"/>
    <w:rsid w:val="00A1060F"/>
    <w:rsid w:val="00A11525"/>
    <w:rsid w:val="00A16A3B"/>
    <w:rsid w:val="00A25F34"/>
    <w:rsid w:val="00A30A69"/>
    <w:rsid w:val="00A333DE"/>
    <w:rsid w:val="00A420A4"/>
    <w:rsid w:val="00A444EB"/>
    <w:rsid w:val="00A44B70"/>
    <w:rsid w:val="00A60585"/>
    <w:rsid w:val="00A60C0A"/>
    <w:rsid w:val="00A64B8D"/>
    <w:rsid w:val="00A66CA3"/>
    <w:rsid w:val="00A66F9D"/>
    <w:rsid w:val="00A73238"/>
    <w:rsid w:val="00A73632"/>
    <w:rsid w:val="00A76772"/>
    <w:rsid w:val="00A81A01"/>
    <w:rsid w:val="00A84F06"/>
    <w:rsid w:val="00A94DB0"/>
    <w:rsid w:val="00A94DFC"/>
    <w:rsid w:val="00A95CE0"/>
    <w:rsid w:val="00A974FA"/>
    <w:rsid w:val="00A97773"/>
    <w:rsid w:val="00AA5420"/>
    <w:rsid w:val="00AA6844"/>
    <w:rsid w:val="00AA6F47"/>
    <w:rsid w:val="00AB2D33"/>
    <w:rsid w:val="00AB2D55"/>
    <w:rsid w:val="00AB4ACF"/>
    <w:rsid w:val="00AB5783"/>
    <w:rsid w:val="00AD2B9C"/>
    <w:rsid w:val="00AD3978"/>
    <w:rsid w:val="00AE4235"/>
    <w:rsid w:val="00AE6124"/>
    <w:rsid w:val="00B000DB"/>
    <w:rsid w:val="00B054AE"/>
    <w:rsid w:val="00B07D04"/>
    <w:rsid w:val="00B1636B"/>
    <w:rsid w:val="00B17F74"/>
    <w:rsid w:val="00B242F5"/>
    <w:rsid w:val="00B24504"/>
    <w:rsid w:val="00B24DBF"/>
    <w:rsid w:val="00B25B64"/>
    <w:rsid w:val="00B262DF"/>
    <w:rsid w:val="00B26973"/>
    <w:rsid w:val="00B27E96"/>
    <w:rsid w:val="00B300E6"/>
    <w:rsid w:val="00B30384"/>
    <w:rsid w:val="00B319F7"/>
    <w:rsid w:val="00B35685"/>
    <w:rsid w:val="00B37DB7"/>
    <w:rsid w:val="00B37EC2"/>
    <w:rsid w:val="00B45806"/>
    <w:rsid w:val="00B47D43"/>
    <w:rsid w:val="00B50445"/>
    <w:rsid w:val="00B51008"/>
    <w:rsid w:val="00B524AA"/>
    <w:rsid w:val="00B52B23"/>
    <w:rsid w:val="00B6208B"/>
    <w:rsid w:val="00B632D7"/>
    <w:rsid w:val="00B70AF2"/>
    <w:rsid w:val="00B71D76"/>
    <w:rsid w:val="00B7688B"/>
    <w:rsid w:val="00B91CB7"/>
    <w:rsid w:val="00B937FC"/>
    <w:rsid w:val="00B9554C"/>
    <w:rsid w:val="00B9558C"/>
    <w:rsid w:val="00B960F1"/>
    <w:rsid w:val="00B9642E"/>
    <w:rsid w:val="00BA1AC3"/>
    <w:rsid w:val="00BA2218"/>
    <w:rsid w:val="00BA66D0"/>
    <w:rsid w:val="00BA7DFB"/>
    <w:rsid w:val="00BB0FF8"/>
    <w:rsid w:val="00BB1E65"/>
    <w:rsid w:val="00BB7D5C"/>
    <w:rsid w:val="00BC0143"/>
    <w:rsid w:val="00BC2815"/>
    <w:rsid w:val="00BC2C08"/>
    <w:rsid w:val="00BC5EDA"/>
    <w:rsid w:val="00BD2BEA"/>
    <w:rsid w:val="00BD3B1F"/>
    <w:rsid w:val="00BD71EF"/>
    <w:rsid w:val="00BE10B3"/>
    <w:rsid w:val="00BE1388"/>
    <w:rsid w:val="00BE2B76"/>
    <w:rsid w:val="00BF5D58"/>
    <w:rsid w:val="00BF6E8C"/>
    <w:rsid w:val="00C00D72"/>
    <w:rsid w:val="00C03C3B"/>
    <w:rsid w:val="00C04657"/>
    <w:rsid w:val="00C11605"/>
    <w:rsid w:val="00C12018"/>
    <w:rsid w:val="00C134B2"/>
    <w:rsid w:val="00C178FE"/>
    <w:rsid w:val="00C22953"/>
    <w:rsid w:val="00C241DD"/>
    <w:rsid w:val="00C24F2E"/>
    <w:rsid w:val="00C25D1C"/>
    <w:rsid w:val="00C302C5"/>
    <w:rsid w:val="00C318DE"/>
    <w:rsid w:val="00C3210F"/>
    <w:rsid w:val="00C350F3"/>
    <w:rsid w:val="00C405B2"/>
    <w:rsid w:val="00C46EE5"/>
    <w:rsid w:val="00C507AC"/>
    <w:rsid w:val="00C5087B"/>
    <w:rsid w:val="00C535AE"/>
    <w:rsid w:val="00C561C2"/>
    <w:rsid w:val="00C56AF5"/>
    <w:rsid w:val="00C762C1"/>
    <w:rsid w:val="00C8074E"/>
    <w:rsid w:val="00C84693"/>
    <w:rsid w:val="00C916CC"/>
    <w:rsid w:val="00C91BDA"/>
    <w:rsid w:val="00C94836"/>
    <w:rsid w:val="00CA299C"/>
    <w:rsid w:val="00CA2C32"/>
    <w:rsid w:val="00CA361D"/>
    <w:rsid w:val="00CA426D"/>
    <w:rsid w:val="00CA46A7"/>
    <w:rsid w:val="00CA4723"/>
    <w:rsid w:val="00CA709B"/>
    <w:rsid w:val="00CB2456"/>
    <w:rsid w:val="00CB39A6"/>
    <w:rsid w:val="00CB50A4"/>
    <w:rsid w:val="00CB5D69"/>
    <w:rsid w:val="00CC0DE7"/>
    <w:rsid w:val="00CC2E06"/>
    <w:rsid w:val="00CC6209"/>
    <w:rsid w:val="00CD1FA4"/>
    <w:rsid w:val="00CD2BF6"/>
    <w:rsid w:val="00CD2D1C"/>
    <w:rsid w:val="00CD30D1"/>
    <w:rsid w:val="00CD6D86"/>
    <w:rsid w:val="00CD78F4"/>
    <w:rsid w:val="00CE5169"/>
    <w:rsid w:val="00CF3040"/>
    <w:rsid w:val="00CF4BBC"/>
    <w:rsid w:val="00D001D5"/>
    <w:rsid w:val="00D03336"/>
    <w:rsid w:val="00D04989"/>
    <w:rsid w:val="00D0648E"/>
    <w:rsid w:val="00D10147"/>
    <w:rsid w:val="00D16C04"/>
    <w:rsid w:val="00D16F40"/>
    <w:rsid w:val="00D22B4D"/>
    <w:rsid w:val="00D240EA"/>
    <w:rsid w:val="00D251FF"/>
    <w:rsid w:val="00D321A2"/>
    <w:rsid w:val="00D35597"/>
    <w:rsid w:val="00D43239"/>
    <w:rsid w:val="00D4392F"/>
    <w:rsid w:val="00D52A34"/>
    <w:rsid w:val="00D5574F"/>
    <w:rsid w:val="00D56C73"/>
    <w:rsid w:val="00D56EC9"/>
    <w:rsid w:val="00D56FCE"/>
    <w:rsid w:val="00D60CB8"/>
    <w:rsid w:val="00D62F25"/>
    <w:rsid w:val="00D63482"/>
    <w:rsid w:val="00D64C5F"/>
    <w:rsid w:val="00D67D3F"/>
    <w:rsid w:val="00D7035C"/>
    <w:rsid w:val="00D70563"/>
    <w:rsid w:val="00D70CB3"/>
    <w:rsid w:val="00D81CE4"/>
    <w:rsid w:val="00D83A85"/>
    <w:rsid w:val="00D918D4"/>
    <w:rsid w:val="00D93C34"/>
    <w:rsid w:val="00D945AD"/>
    <w:rsid w:val="00D96478"/>
    <w:rsid w:val="00D97B67"/>
    <w:rsid w:val="00DA7E0E"/>
    <w:rsid w:val="00DB2891"/>
    <w:rsid w:val="00DB327C"/>
    <w:rsid w:val="00DB7DA6"/>
    <w:rsid w:val="00DC0ED9"/>
    <w:rsid w:val="00DC426A"/>
    <w:rsid w:val="00DC7B96"/>
    <w:rsid w:val="00DE4325"/>
    <w:rsid w:val="00DE5190"/>
    <w:rsid w:val="00DE59B3"/>
    <w:rsid w:val="00DF30D2"/>
    <w:rsid w:val="00DF4AD6"/>
    <w:rsid w:val="00DF70D4"/>
    <w:rsid w:val="00E01B79"/>
    <w:rsid w:val="00E05423"/>
    <w:rsid w:val="00E05D78"/>
    <w:rsid w:val="00E0697B"/>
    <w:rsid w:val="00E077A3"/>
    <w:rsid w:val="00E161AA"/>
    <w:rsid w:val="00E16A37"/>
    <w:rsid w:val="00E20193"/>
    <w:rsid w:val="00E328B1"/>
    <w:rsid w:val="00E33E6C"/>
    <w:rsid w:val="00E34B78"/>
    <w:rsid w:val="00E37C70"/>
    <w:rsid w:val="00E40DE9"/>
    <w:rsid w:val="00E422FA"/>
    <w:rsid w:val="00E43057"/>
    <w:rsid w:val="00E4456E"/>
    <w:rsid w:val="00E564A4"/>
    <w:rsid w:val="00E60EC2"/>
    <w:rsid w:val="00E6781A"/>
    <w:rsid w:val="00E6788A"/>
    <w:rsid w:val="00E73403"/>
    <w:rsid w:val="00E803AD"/>
    <w:rsid w:val="00E857DE"/>
    <w:rsid w:val="00E91148"/>
    <w:rsid w:val="00E91D80"/>
    <w:rsid w:val="00E92A82"/>
    <w:rsid w:val="00E95F0E"/>
    <w:rsid w:val="00E965B2"/>
    <w:rsid w:val="00E9692C"/>
    <w:rsid w:val="00E97069"/>
    <w:rsid w:val="00E9782B"/>
    <w:rsid w:val="00EB082D"/>
    <w:rsid w:val="00EB421C"/>
    <w:rsid w:val="00EB5F2B"/>
    <w:rsid w:val="00EC42E0"/>
    <w:rsid w:val="00EC6C8E"/>
    <w:rsid w:val="00ED402C"/>
    <w:rsid w:val="00EE12A3"/>
    <w:rsid w:val="00EE2A33"/>
    <w:rsid w:val="00EE2ED6"/>
    <w:rsid w:val="00EE2FD1"/>
    <w:rsid w:val="00EE7B4A"/>
    <w:rsid w:val="00EE7F2C"/>
    <w:rsid w:val="00F01124"/>
    <w:rsid w:val="00F028FC"/>
    <w:rsid w:val="00F0332E"/>
    <w:rsid w:val="00F03B5D"/>
    <w:rsid w:val="00F0414C"/>
    <w:rsid w:val="00F0477B"/>
    <w:rsid w:val="00F07691"/>
    <w:rsid w:val="00F10182"/>
    <w:rsid w:val="00F11AB4"/>
    <w:rsid w:val="00F14B92"/>
    <w:rsid w:val="00F20D94"/>
    <w:rsid w:val="00F2223D"/>
    <w:rsid w:val="00F254FF"/>
    <w:rsid w:val="00F27164"/>
    <w:rsid w:val="00F304BE"/>
    <w:rsid w:val="00F332A7"/>
    <w:rsid w:val="00F3767B"/>
    <w:rsid w:val="00F37EEF"/>
    <w:rsid w:val="00F41780"/>
    <w:rsid w:val="00F42113"/>
    <w:rsid w:val="00F439AC"/>
    <w:rsid w:val="00F44BA8"/>
    <w:rsid w:val="00F45620"/>
    <w:rsid w:val="00F47F6F"/>
    <w:rsid w:val="00F51150"/>
    <w:rsid w:val="00F51E75"/>
    <w:rsid w:val="00F51FD2"/>
    <w:rsid w:val="00F55785"/>
    <w:rsid w:val="00F559B7"/>
    <w:rsid w:val="00F5684E"/>
    <w:rsid w:val="00F60E30"/>
    <w:rsid w:val="00F72B9A"/>
    <w:rsid w:val="00F742C1"/>
    <w:rsid w:val="00F745B8"/>
    <w:rsid w:val="00F767CE"/>
    <w:rsid w:val="00F810BC"/>
    <w:rsid w:val="00F8229F"/>
    <w:rsid w:val="00F904D3"/>
    <w:rsid w:val="00F946C5"/>
    <w:rsid w:val="00F95B59"/>
    <w:rsid w:val="00FA5DCC"/>
    <w:rsid w:val="00FB076A"/>
    <w:rsid w:val="00FB1164"/>
    <w:rsid w:val="00FB35C3"/>
    <w:rsid w:val="00FB72E1"/>
    <w:rsid w:val="00FC585E"/>
    <w:rsid w:val="00FC6755"/>
    <w:rsid w:val="00FD2845"/>
    <w:rsid w:val="00FD33D2"/>
    <w:rsid w:val="00FD6EE7"/>
    <w:rsid w:val="00FE0E4C"/>
    <w:rsid w:val="00FE1410"/>
    <w:rsid w:val="00FE1C0F"/>
    <w:rsid w:val="00FE2932"/>
    <w:rsid w:val="00FE4EC5"/>
    <w:rsid w:val="00FF048B"/>
    <w:rsid w:val="00FF1B01"/>
    <w:rsid w:val="00FF3631"/>
    <w:rsid w:val="00FF49AF"/>
    <w:rsid w:val="47A87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4"/>
    <w:autoRedefine/>
    <w:qFormat/>
    <w:uiPriority w:val="1"/>
    <w:pPr>
      <w:autoSpaceDE w:val="0"/>
      <w:autoSpaceDN w:val="0"/>
      <w:adjustRightInd w:val="0"/>
      <w:spacing w:before="137"/>
      <w:ind w:left="121"/>
      <w:jc w:val="left"/>
    </w:pPr>
    <w:rPr>
      <w:rFonts w:ascii="宋体" w:cs="宋体"/>
      <w:kern w:val="0"/>
      <w:sz w:val="24"/>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9">
    <w:name w:val="Char Char1 Char Char Char Char Char Char Char Char Char Char Char Char Char Char Char Char Char Char"/>
    <w:basedOn w:val="1"/>
    <w:uiPriority w:val="0"/>
    <w:pPr>
      <w:spacing w:line="360" w:lineRule="auto"/>
      <w:ind w:firstLine="200" w:firstLineChars="200"/>
    </w:pPr>
    <w:rPr>
      <w:rFonts w:ascii="宋体" w:hAnsi="宋体" w:cs="宋体"/>
      <w:sz w:val="24"/>
    </w:rPr>
  </w:style>
  <w:style w:type="character" w:customStyle="1" w:styleId="10">
    <w:name w:val="页眉 Char"/>
    <w:link w:val="5"/>
    <w:uiPriority w:val="0"/>
    <w:rPr>
      <w:kern w:val="2"/>
      <w:sz w:val="18"/>
      <w:szCs w:val="18"/>
    </w:rPr>
  </w:style>
  <w:style w:type="table" w:customStyle="1" w:styleId="11">
    <w:name w:val="Table Normal"/>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2">
    <w:name w:val="Table Paragraph"/>
    <w:basedOn w:val="1"/>
    <w:qFormat/>
    <w:uiPriority w:val="1"/>
    <w:pPr>
      <w:jc w:val="left"/>
    </w:pPr>
    <w:rPr>
      <w:rFonts w:ascii="Calibri" w:hAnsi="Calibri"/>
      <w:kern w:val="0"/>
      <w:sz w:val="22"/>
      <w:szCs w:val="22"/>
      <w:lang w:eastAsia="en-US"/>
    </w:rPr>
  </w:style>
  <w:style w:type="paragraph" w:styleId="13">
    <w:name w:val="List Paragraph"/>
    <w:basedOn w:val="1"/>
    <w:autoRedefine/>
    <w:qFormat/>
    <w:uiPriority w:val="34"/>
    <w:pPr>
      <w:ind w:firstLine="420" w:firstLineChars="200"/>
    </w:pPr>
  </w:style>
  <w:style w:type="character" w:customStyle="1" w:styleId="14">
    <w:name w:val="正文文本 Char"/>
    <w:basedOn w:val="7"/>
    <w:link w:val="2"/>
    <w:autoRedefine/>
    <w:qFormat/>
    <w:uiPriority w:val="1"/>
    <w:rPr>
      <w:rFonts w:ascii="宋体" w:cs="宋体"/>
      <w:sz w:val="24"/>
      <w:szCs w:val="24"/>
    </w:rPr>
  </w:style>
  <w:style w:type="paragraph" w:customStyle="1" w:styleId="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83685-9393-4C43-AD38-431D6CEA11AF}">
  <ds:schemaRefs/>
</ds:datastoreItem>
</file>

<file path=docProps/app.xml><?xml version="1.0" encoding="utf-8"?>
<Properties xmlns="http://schemas.openxmlformats.org/officeDocument/2006/extended-properties" xmlns:vt="http://schemas.openxmlformats.org/officeDocument/2006/docPropsVTypes">
  <Template>Normal</Template>
  <Company>DAC</Company>
  <Pages>6</Pages>
  <Words>375</Words>
  <Characters>2141</Characters>
  <Lines>17</Lines>
  <Paragraphs>5</Paragraphs>
  <TotalTime>484</TotalTime>
  <ScaleCrop>false</ScaleCrop>
  <LinksUpToDate>false</LinksUpToDate>
  <CharactersWithSpaces>2511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2021-08-24T08:56:00Z</dcterms:created>
  <dc:creator>zczheng</dc:creator>
  <cp:lastModifiedBy>本色</cp:lastModifiedBy>
  <cp:lastPrinted>2012-01-29T03:22:00Z</cp:lastPrinted>
  <dcterms:modified xsi:type="dcterms:W3CDTF">2024-03-13T01:51:53Z</dcterms:modified>
  <dc:title>1</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5CEC910D8BEF4CC38C891AEA92FCD189_12</vt:lpwstr>
  </property>
</Properties>
</file>