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3C" w:rsidRPr="00F46FAA" w:rsidRDefault="00A4583C" w:rsidP="00A4583C">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E55FB9">
        <w:rPr>
          <w:rFonts w:hint="eastAsia"/>
          <w:b/>
          <w:bCs/>
          <w:sz w:val="36"/>
          <w:lang w:eastAsia="zh-CN"/>
        </w:rPr>
        <w:t>四合一炉改造之炉底保温材料（气凝胶毡）取样送检分析</w:t>
      </w:r>
      <w:r w:rsidRPr="0079095C">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A4583C" w:rsidRPr="0095010C" w:rsidRDefault="00A4583C" w:rsidP="00A4583C">
      <w:pPr>
        <w:spacing w:line="360" w:lineRule="auto"/>
        <w:ind w:right="315"/>
        <w:jc w:val="right"/>
        <w:rPr>
          <w:bCs/>
          <w:szCs w:val="21"/>
          <w:lang w:eastAsia="zh-CN"/>
        </w:rPr>
      </w:pPr>
      <w:r w:rsidRPr="002B08DF">
        <w:rPr>
          <w:rFonts w:hint="eastAsia"/>
          <w:bCs/>
          <w:szCs w:val="21"/>
          <w:lang w:eastAsia="zh-CN"/>
        </w:rPr>
        <w:t>比选编号：</w:t>
      </w:r>
      <w:r w:rsidRPr="00E041DF">
        <w:rPr>
          <w:bCs/>
          <w:szCs w:val="21"/>
          <w:lang w:eastAsia="zh-CN"/>
        </w:rPr>
        <w:t>FAP1-T-YQBX-202311-009</w:t>
      </w:r>
    </w:p>
    <w:p w:rsidR="00A4583C" w:rsidRPr="004B2CF4" w:rsidRDefault="00A4583C" w:rsidP="00A4583C">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1E0303">
        <w:rPr>
          <w:rFonts w:asciiTheme="minorEastAsia" w:eastAsiaTheme="minorEastAsia" w:hAnsiTheme="minorEastAsia" w:hint="eastAsia"/>
          <w:bCs/>
          <w:sz w:val="24"/>
          <w:szCs w:val="24"/>
          <w:lang w:eastAsia="zh-CN"/>
        </w:rPr>
        <w:t>四合一炉改造之炉底保温材料（气凝胶毡）取样送检分析</w:t>
      </w:r>
      <w:r w:rsidRPr="004D7686">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E041DF">
        <w:rPr>
          <w:bCs/>
          <w:szCs w:val="21"/>
          <w:lang w:eastAsia="zh-CN"/>
        </w:rPr>
        <w:t>FAP1-T-YQBX-202311-009</w:t>
      </w:r>
      <w:r w:rsidRPr="004B2CF4">
        <w:rPr>
          <w:rFonts w:asciiTheme="minorEastAsia" w:eastAsiaTheme="minorEastAsia" w:hAnsiTheme="minorEastAsia" w:hint="eastAsia"/>
          <w:bCs/>
          <w:sz w:val="24"/>
          <w:szCs w:val="24"/>
          <w:lang w:eastAsia="zh-CN"/>
        </w:rPr>
        <w:t>）”进行国内公开比选，欢迎国内符合条件的供应商积极参选。</w:t>
      </w:r>
    </w:p>
    <w:p w:rsidR="00A4583C" w:rsidRPr="001A592B" w:rsidRDefault="00A4583C" w:rsidP="00A458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A4583C" w:rsidRPr="00747836" w:rsidRDefault="00A4583C" w:rsidP="00A4583C">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1E0303">
        <w:rPr>
          <w:rFonts w:asciiTheme="minorEastAsia" w:eastAsiaTheme="minorEastAsia" w:hAnsiTheme="minorEastAsia" w:hint="eastAsia"/>
          <w:bCs/>
          <w:sz w:val="24"/>
          <w:szCs w:val="24"/>
          <w:lang w:eastAsia="zh-CN"/>
        </w:rPr>
        <w:t>四合一炉改造之炉底保温材料（气凝胶毡）取样送检分析</w:t>
      </w:r>
      <w:r w:rsidRPr="004D7686">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A4583C" w:rsidRDefault="00A4583C" w:rsidP="00A4583C">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p w:rsidR="00A4583C" w:rsidRPr="00FD73CE" w:rsidRDefault="00A4583C" w:rsidP="00A4583C">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sidRPr="001E0303">
        <w:rPr>
          <w:rFonts w:asciiTheme="minorEastAsia" w:eastAsiaTheme="minorEastAsia" w:hAnsiTheme="minorEastAsia" w:hint="eastAsia"/>
          <w:bCs/>
          <w:sz w:val="24"/>
          <w:szCs w:val="24"/>
          <w:lang w:eastAsia="zh-CN"/>
        </w:rPr>
        <w:t>保温材料（气凝胶毡）取样送检</w:t>
      </w:r>
      <w:r>
        <w:rPr>
          <w:rFonts w:asciiTheme="minorEastAsia" w:eastAsiaTheme="minorEastAsia" w:hAnsiTheme="minorEastAsia" w:hint="eastAsia"/>
          <w:bCs/>
          <w:sz w:val="24"/>
          <w:szCs w:val="24"/>
          <w:lang w:eastAsia="zh-CN"/>
        </w:rPr>
        <w:t>，分析项目</w:t>
      </w:r>
      <w:r w:rsidRPr="00E57F52">
        <w:rPr>
          <w:rFonts w:hint="eastAsia"/>
          <w:sz w:val="24"/>
          <w:lang w:eastAsia="zh-CN"/>
        </w:rPr>
        <w:t>密度、憎水率、防火、加热永久线变化、导热系数、抗拉强度、最高使用温度</w:t>
      </w:r>
      <w:r>
        <w:rPr>
          <w:rFonts w:hint="eastAsia"/>
          <w:sz w:val="24"/>
          <w:lang w:eastAsia="zh-CN"/>
        </w:rPr>
        <w:t>等内容</w:t>
      </w:r>
      <w:r w:rsidRPr="00E57F52">
        <w:rPr>
          <w:rFonts w:hint="eastAsia"/>
          <w:sz w:val="24"/>
          <w:lang w:eastAsia="zh-CN"/>
        </w:rPr>
        <w:t>。</w:t>
      </w:r>
      <w:r w:rsidRPr="008676F7">
        <w:rPr>
          <w:rFonts w:asciiTheme="minorEastAsia" w:eastAsiaTheme="minorEastAsia" w:hAnsiTheme="minorEastAsia" w:hint="eastAsia"/>
          <w:bCs/>
          <w:sz w:val="24"/>
          <w:szCs w:val="24"/>
          <w:lang w:eastAsia="zh-CN"/>
        </w:rPr>
        <w:t>所检项目需要符合</w:t>
      </w:r>
      <w:r w:rsidRPr="008676F7">
        <w:rPr>
          <w:rFonts w:asciiTheme="minorEastAsia" w:eastAsiaTheme="minorEastAsia" w:hAnsiTheme="minorEastAsia"/>
          <w:bCs/>
          <w:sz w:val="24"/>
          <w:szCs w:val="24"/>
          <w:lang w:eastAsia="zh-CN"/>
        </w:rPr>
        <w:t>GB/ T 34336- 2017 《纳米孔气凝胶复合绝热制品》 标准规定的III型B类产品要求，燃烧性能符合GB8624-2012 《建筑材料及制品燃 烧性能分级》标准规定的A(A2)级要求。</w:t>
      </w:r>
    </w:p>
    <w:p w:rsidR="00A4583C" w:rsidRDefault="00A4583C" w:rsidP="00A4583C">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A4583C" w:rsidRPr="00747836" w:rsidRDefault="00A4583C" w:rsidP="00A4583C">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A4583C" w:rsidRDefault="00A4583C" w:rsidP="00A4583C">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A4583C" w:rsidRPr="006A333C" w:rsidRDefault="00A4583C" w:rsidP="00A4583C">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35,000.00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A4583C" w:rsidRDefault="00A4583C" w:rsidP="00A458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A4583C" w:rsidRPr="00FB7D13" w:rsidRDefault="00A4583C" w:rsidP="00A4583C">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Pr>
          <w:rFonts w:ascii="宋体" w:eastAsia="宋体" w:hAnsi="宋体" w:cs="宋体" w:hint="eastAsia"/>
          <w:spacing w:val="-3"/>
          <w:sz w:val="24"/>
          <w:szCs w:val="24"/>
        </w:rPr>
        <w:t>服务</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A4583C" w:rsidRDefault="00A4583C" w:rsidP="00A4583C">
      <w:pPr>
        <w:pStyle w:val="Style4"/>
        <w:numPr>
          <w:ilvl w:val="0"/>
          <w:numId w:val="4"/>
        </w:numPr>
        <w:spacing w:line="360" w:lineRule="auto"/>
        <w:jc w:val="left"/>
        <w:rPr>
          <w:rFonts w:ascii="宋体" w:eastAsia="宋体" w:hAnsi="宋体" w:cs="宋体"/>
          <w:sz w:val="24"/>
          <w:szCs w:val="24"/>
        </w:rPr>
      </w:pPr>
      <w:r w:rsidRPr="006A333C">
        <w:rPr>
          <w:rFonts w:ascii="宋体" w:eastAsia="宋体" w:hAnsi="宋体" w:cs="宋体"/>
          <w:sz w:val="24"/>
          <w:szCs w:val="24"/>
        </w:rPr>
        <w:t>投标人</w:t>
      </w:r>
      <w:r>
        <w:rPr>
          <w:rFonts w:ascii="宋体" w:eastAsia="宋体" w:hAnsi="宋体" w:cs="宋体"/>
          <w:sz w:val="24"/>
          <w:szCs w:val="24"/>
        </w:rPr>
        <w:t>需有包含本项目的</w:t>
      </w:r>
      <w:r>
        <w:rPr>
          <w:rFonts w:ascii="宋体" w:cs="宋体" w:hint="eastAsia"/>
          <w:kern w:val="0"/>
          <w:sz w:val="24"/>
        </w:rPr>
        <w:t>国家相关主管部门颁发</w:t>
      </w:r>
      <w:r w:rsidRPr="002C2FC8">
        <w:rPr>
          <w:rFonts w:ascii="宋体" w:cs="宋体"/>
          <w:kern w:val="0"/>
          <w:sz w:val="24"/>
        </w:rPr>
        <w:t>CNAS或CMA资质</w:t>
      </w:r>
      <w:r>
        <w:rPr>
          <w:rFonts w:ascii="宋体" w:eastAsia="宋体" w:hAnsi="宋体" w:cs="宋体" w:hint="eastAsia"/>
          <w:sz w:val="24"/>
          <w:szCs w:val="24"/>
        </w:rPr>
        <w:t>。</w:t>
      </w:r>
    </w:p>
    <w:p w:rsidR="00A4583C" w:rsidRDefault="00A4583C" w:rsidP="00A4583C">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A4583C" w:rsidRPr="006A333C" w:rsidRDefault="00A4583C" w:rsidP="00A4583C">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lastRenderedPageBreak/>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A4583C" w:rsidRDefault="00A4583C" w:rsidP="00A458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A4583C" w:rsidRDefault="00A4583C" w:rsidP="00A458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A4583C" w:rsidRDefault="00A4583C" w:rsidP="00A458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A4583C" w:rsidRDefault="00A4583C" w:rsidP="00A458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A4583C" w:rsidRDefault="00A4583C" w:rsidP="00A458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A4583C" w:rsidRPr="006A333C" w:rsidRDefault="00A4583C" w:rsidP="00A458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A4583C" w:rsidRPr="001A592B" w:rsidRDefault="00A4583C" w:rsidP="00A458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A4583C" w:rsidRPr="000F619F" w:rsidRDefault="00A4583C" w:rsidP="00A4583C">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A4583C" w:rsidRDefault="00A4583C" w:rsidP="00A4583C">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A4583C" w:rsidRPr="00B91618" w:rsidRDefault="00A4583C" w:rsidP="00A4583C">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A4583C" w:rsidRPr="00AA1133" w:rsidRDefault="00A4583C" w:rsidP="00A4583C">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A4583C" w:rsidRPr="00B91618" w:rsidRDefault="00A4583C" w:rsidP="00A458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A4583C" w:rsidRPr="001F534F" w:rsidRDefault="00A4583C" w:rsidP="00A458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A4583C" w:rsidRPr="0031234C" w:rsidRDefault="00A4583C" w:rsidP="00A458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A4583C" w:rsidRPr="0031234C" w:rsidRDefault="00A4583C" w:rsidP="00A458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4583C" w:rsidRPr="0031234C" w:rsidRDefault="00A4583C" w:rsidP="00A458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A4583C" w:rsidRPr="0031234C" w:rsidRDefault="00A4583C" w:rsidP="00A458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A4583C" w:rsidRPr="0031234C" w:rsidRDefault="00A4583C" w:rsidP="00A458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A4583C" w:rsidRPr="0031234C" w:rsidRDefault="00A4583C" w:rsidP="00A458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A4583C" w:rsidRPr="00736B2E" w:rsidRDefault="00A4583C" w:rsidP="00A4583C">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保温材料</w:t>
      </w:r>
      <w:r w:rsidRPr="0005561C">
        <w:rPr>
          <w:rFonts w:asciiTheme="minorEastAsia" w:eastAsiaTheme="minorEastAsia" w:hAnsiTheme="minorEastAsia"/>
          <w:bCs/>
          <w:sz w:val="24"/>
          <w:szCs w:val="24"/>
          <w:lang w:eastAsia="zh-CN"/>
        </w:rPr>
        <w:t>采购</w:t>
      </w:r>
    </w:p>
    <w:p w:rsidR="00A4583C" w:rsidRPr="0031234C" w:rsidRDefault="00A4583C" w:rsidP="00A458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A4583C" w:rsidRPr="0031234C" w:rsidRDefault="00A4583C" w:rsidP="00A4583C">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4583C" w:rsidRPr="006C3511" w:rsidRDefault="00A4583C" w:rsidP="00A4583C">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A4583C" w:rsidRPr="0031234C" w:rsidRDefault="00A4583C" w:rsidP="00A4583C">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A4583C" w:rsidRPr="006C3511" w:rsidRDefault="00A4583C" w:rsidP="00A4583C">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A4583C" w:rsidRPr="0031234C" w:rsidRDefault="00A4583C" w:rsidP="00A4583C">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A4583C" w:rsidRPr="001A592B" w:rsidRDefault="00A4583C" w:rsidP="00A458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A4583C" w:rsidRPr="001A592B" w:rsidRDefault="00A4583C" w:rsidP="00A4583C">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A4583C" w:rsidRDefault="00A4583C" w:rsidP="00A4583C">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A4583C" w:rsidRPr="009C587D" w:rsidRDefault="00A4583C" w:rsidP="00A4583C">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A4583C" w:rsidRPr="001A592B" w:rsidRDefault="00A4583C" w:rsidP="00A458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A4583C" w:rsidRPr="001A592B" w:rsidRDefault="00A4583C" w:rsidP="00A4583C">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A4583C" w:rsidRPr="001A592B" w:rsidRDefault="00A4583C" w:rsidP="00A4583C">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A4583C" w:rsidRDefault="00A4583C" w:rsidP="00A4583C">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A4583C" w:rsidRDefault="00A4583C" w:rsidP="00A4583C">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A4583C" w:rsidRDefault="00A4583C" w:rsidP="00A4583C">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A4583C" w:rsidRDefault="00A4583C" w:rsidP="00A4583C">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023.12.06</w:t>
      </w:r>
    </w:p>
    <w:p w:rsidR="004D40EC" w:rsidRDefault="004D40EC">
      <w:bookmarkStart w:id="4" w:name="_GoBack"/>
      <w:bookmarkEnd w:id="4"/>
    </w:p>
    <w:sectPr w:rsidR="004D4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3C"/>
    <w:rsid w:val="004D40EC"/>
    <w:rsid w:val="00A4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2FE03-4EF5-4D72-9459-D083F98B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583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A4583C"/>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A4583C"/>
    <w:pPr>
      <w:spacing w:before="206"/>
      <w:ind w:left="959" w:hanging="361"/>
    </w:pPr>
  </w:style>
  <w:style w:type="character" w:customStyle="1" w:styleId="Char">
    <w:name w:val="正文缩进 Char"/>
    <w:link w:val="a4"/>
    <w:qFormat/>
    <w:rsid w:val="00A4583C"/>
  </w:style>
  <w:style w:type="paragraph" w:styleId="a4">
    <w:name w:val="Normal Indent"/>
    <w:basedOn w:val="a"/>
    <w:link w:val="Char"/>
    <w:qFormat/>
    <w:rsid w:val="00A4583C"/>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A4583C"/>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A4583C"/>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1528</Characters>
  <Application>Microsoft Office Word</Application>
  <DocSecurity>0</DocSecurity>
  <Lines>12</Lines>
  <Paragraphs>3</Paragraphs>
  <ScaleCrop>false</ScaleCrop>
  <Company>fhcpec.com.cn</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2023-12-06T00:17:00Z</dcterms:created>
  <dcterms:modified xsi:type="dcterms:W3CDTF">2023-12-06T00:17:00Z</dcterms:modified>
</cp:coreProperties>
</file>